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49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</w:t>
            </w:r>
            <w:r w:rsidR="001F6B61">
              <w:rPr>
                <w:rFonts w:eastAsia="Calibri"/>
              </w:rPr>
              <w:t>Ю.Е.Афанасьева</w:t>
            </w:r>
            <w:proofErr w:type="spellEnd"/>
            <w:r w:rsidRPr="003F2910">
              <w:rPr>
                <w:rFonts w:eastAsia="Calibri"/>
              </w:rPr>
              <w:t xml:space="preserve"> 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8E1DA8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«25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_Ю.Е.Афанасьева</w:t>
            </w:r>
            <w:proofErr w:type="spellEnd"/>
            <w:r w:rsidRPr="003F2910">
              <w:rPr>
                <w:rFonts w:eastAsia="Calibri"/>
              </w:rPr>
              <w:t>_</w:t>
            </w:r>
          </w:p>
          <w:p w:rsidR="003C4025" w:rsidRPr="003F2910" w:rsidRDefault="008E1DA8" w:rsidP="00736F68">
            <w:pPr>
              <w:rPr>
                <w:rFonts w:eastAsia="Calibri"/>
              </w:rPr>
            </w:pPr>
            <w:r>
              <w:rPr>
                <w:rFonts w:eastAsia="Calibri"/>
              </w:rPr>
              <w:t>от «29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____________Н.А. </w:t>
            </w:r>
            <w:proofErr w:type="spellStart"/>
            <w:r w:rsidRPr="003F2910">
              <w:rPr>
                <w:rFonts w:eastAsia="Calibri"/>
              </w:rPr>
              <w:t>Кабакова</w:t>
            </w:r>
            <w:proofErr w:type="spellEnd"/>
          </w:p>
          <w:p w:rsidR="003C4025" w:rsidRPr="00E32ED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  <w:r w:rsidR="0032136D">
              <w:rPr>
                <w:rFonts w:eastAsia="Calibri"/>
              </w:rPr>
              <w:t>156.1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«31» августа  202</w:t>
            </w:r>
            <w:r w:rsidR="00736F68">
              <w:rPr>
                <w:rFonts w:eastAsia="Calibri"/>
              </w:rPr>
              <w:t>3</w:t>
            </w:r>
            <w:r w:rsidR="003C4025">
              <w:rPr>
                <w:rFonts w:eastAsia="Calibri"/>
              </w:rPr>
              <w:t xml:space="preserve"> 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27802" w:rsidRDefault="003C4025" w:rsidP="003C4025">
      <w:pPr>
        <w:jc w:val="center"/>
        <w:rPr>
          <w:rFonts w:eastAsia="Calibri"/>
          <w:sz w:val="56"/>
          <w:szCs w:val="56"/>
        </w:rPr>
      </w:pPr>
      <w:r w:rsidRPr="00227802">
        <w:rPr>
          <w:rFonts w:eastAsia="Calibri"/>
          <w:sz w:val="56"/>
          <w:szCs w:val="56"/>
        </w:rPr>
        <w:t>ЛИТЕРАТУРНОЕ ЧТЕНИЕ                                 НА РОДНОМ (РУССКОМ) ЯЗЫКЕ</w:t>
      </w:r>
    </w:p>
    <w:p w:rsidR="003C4025" w:rsidRPr="00227802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227802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736F68">
        <w:rPr>
          <w:rFonts w:eastAsia="Calibri"/>
          <w:sz w:val="36"/>
          <w:szCs w:val="36"/>
        </w:rPr>
        <w:t>3</w:t>
      </w:r>
      <w:r>
        <w:rPr>
          <w:rFonts w:eastAsia="Calibri"/>
          <w:sz w:val="36"/>
          <w:szCs w:val="36"/>
        </w:rPr>
        <w:t>– 202</w:t>
      </w:r>
      <w:r w:rsidR="00736F68">
        <w:rPr>
          <w:rFonts w:eastAsia="Calibri"/>
          <w:sz w:val="36"/>
          <w:szCs w:val="36"/>
        </w:rPr>
        <w:t>4</w:t>
      </w:r>
      <w:r w:rsidR="003C4025">
        <w:rPr>
          <w:rFonts w:eastAsia="Calibri"/>
          <w:sz w:val="36"/>
          <w:szCs w:val="36"/>
        </w:rPr>
        <w:t xml:space="preserve"> 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227802" w:rsidP="003C40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Учитель: </w:t>
      </w:r>
      <w:r w:rsidR="00736F68">
        <w:rPr>
          <w:rFonts w:eastAsia="Calibri"/>
          <w:sz w:val="28"/>
          <w:szCs w:val="28"/>
        </w:rPr>
        <w:t>Кулагина С.А.</w:t>
      </w:r>
      <w:r w:rsidR="003C4025" w:rsidRPr="002865B3">
        <w:rPr>
          <w:rFonts w:eastAsia="Calibri"/>
          <w:sz w:val="28"/>
          <w:szCs w:val="28"/>
        </w:rPr>
        <w:tab/>
      </w:r>
      <w:r w:rsidR="003C4025"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>
        <w:rPr>
          <w:rFonts w:eastAsia="Calibri"/>
          <w:sz w:val="28"/>
          <w:szCs w:val="28"/>
        </w:rPr>
        <w:t xml:space="preserve"> 4 </w:t>
      </w:r>
      <w:r w:rsidR="00736F68">
        <w:rPr>
          <w:rFonts w:eastAsia="Calibri"/>
          <w:sz w:val="28"/>
          <w:szCs w:val="28"/>
        </w:rPr>
        <w:t>Г</w:t>
      </w:r>
      <w:r w:rsidRPr="002865B3">
        <w:rPr>
          <w:rFonts w:eastAsia="Calibri"/>
          <w:sz w:val="28"/>
          <w:szCs w:val="28"/>
        </w:rPr>
        <w:tab/>
      </w:r>
      <w:r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 xml:space="preserve"> 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>
        <w:rPr>
          <w:rFonts w:eastAsia="Calibri"/>
        </w:rPr>
        <w:t>2</w:t>
      </w:r>
      <w:r w:rsidR="00736F68">
        <w:rPr>
          <w:rFonts w:eastAsia="Calibri"/>
        </w:rPr>
        <w:t>3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spacing w:line="275" w:lineRule="exact"/>
        <w:rPr>
          <w:sz w:val="20"/>
          <w:szCs w:val="20"/>
        </w:rPr>
      </w:pPr>
    </w:p>
    <w:p w:rsidR="002F49EC" w:rsidRPr="002865B3" w:rsidRDefault="002F49EC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jc w:val="center"/>
        <w:rPr>
          <w:b/>
          <w:color w:val="000000"/>
        </w:rPr>
      </w:pPr>
    </w:p>
    <w:p w:rsidR="00B64D51" w:rsidRDefault="00B64D51" w:rsidP="003C4025">
      <w:pPr>
        <w:jc w:val="center"/>
        <w:rPr>
          <w:b/>
          <w:color w:val="00000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t>Пояснительная записка</w:t>
      </w:r>
    </w:p>
    <w:p w:rsidR="00B64D51" w:rsidRDefault="003C4025" w:rsidP="003C4025">
      <w:pPr>
        <w:rPr>
          <w:color w:val="000000"/>
        </w:rPr>
      </w:pPr>
      <w:r w:rsidRPr="00E32EDE">
        <w:rPr>
          <w:color w:val="000000"/>
        </w:rPr>
        <w:t xml:space="preserve">        Рабочая программа по предмету «</w:t>
      </w:r>
      <w:r>
        <w:t>Литературное  чтение на родном</w:t>
      </w:r>
      <w:r w:rsidRPr="001112FB">
        <w:t xml:space="preserve"> </w:t>
      </w:r>
      <w:r>
        <w:t>(русском) языке</w:t>
      </w:r>
      <w:r w:rsidR="00EB5683">
        <w:rPr>
          <w:color w:val="000000"/>
        </w:rPr>
        <w:t xml:space="preserve">» </w:t>
      </w:r>
    </w:p>
    <w:p w:rsidR="003C4025" w:rsidRPr="00E32EDE" w:rsidRDefault="00EB5683" w:rsidP="003C4025">
      <w:pPr>
        <w:rPr>
          <w:color w:val="000000"/>
        </w:rPr>
      </w:pPr>
      <w:r>
        <w:rPr>
          <w:color w:val="000000"/>
        </w:rPr>
        <w:t>на 202</w:t>
      </w:r>
      <w:r w:rsidR="00736F68">
        <w:rPr>
          <w:color w:val="000000"/>
        </w:rPr>
        <w:t>3</w:t>
      </w:r>
      <w:r>
        <w:rPr>
          <w:color w:val="000000"/>
        </w:rPr>
        <w:t>-202</w:t>
      </w:r>
      <w:r w:rsidR="00736F68">
        <w:rPr>
          <w:color w:val="000000"/>
        </w:rPr>
        <w:t>4</w:t>
      </w:r>
      <w:r w:rsidR="003C4025" w:rsidRPr="00BD0A68">
        <w:rPr>
          <w:color w:val="000000"/>
        </w:rPr>
        <w:t> </w:t>
      </w:r>
      <w:r w:rsidR="003C4025">
        <w:rPr>
          <w:color w:val="000000"/>
        </w:rPr>
        <w:t>учебный год для обучающихся 4</w:t>
      </w:r>
      <w:r w:rsidR="003C4025" w:rsidRPr="00E32EDE">
        <w:rPr>
          <w:color w:val="000000"/>
        </w:rPr>
        <w:t>-го класса МБОУ Карсунская СШ им. Д.Н. Гусева разработана в соответствии с требованиями следующих документов: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2136D" w:rsidRDefault="0032136D" w:rsidP="0032136D">
      <w:pPr>
        <w:pStyle w:val="a6"/>
        <w:numPr>
          <w:ilvl w:val="0"/>
          <w:numId w:val="22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32136D" w:rsidRDefault="0032136D" w:rsidP="0032136D">
      <w:pPr>
        <w:pStyle w:val="a6"/>
        <w:numPr>
          <w:ilvl w:val="0"/>
          <w:numId w:val="22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A7095E" w:rsidRPr="00A7095E" w:rsidRDefault="00A7095E" w:rsidP="00A7095E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A7095E" w:rsidRDefault="00A7095E" w:rsidP="00A7095E">
      <w:pPr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</w:p>
    <w:p w:rsidR="003C4025" w:rsidRPr="002103FD" w:rsidRDefault="003C4025" w:rsidP="003C4025"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Автор/Авторский коллектив</w:t>
            </w:r>
          </w:p>
        </w:tc>
        <w:tc>
          <w:tcPr>
            <w:tcW w:w="2835" w:type="dxa"/>
          </w:tcPr>
          <w:p w:rsidR="003C4025" w:rsidRPr="00EB5683" w:rsidRDefault="003C4025" w:rsidP="000C6B1C">
            <w:r w:rsidRPr="00EB5683">
              <w:t>Название учебника</w:t>
            </w:r>
          </w:p>
        </w:tc>
        <w:tc>
          <w:tcPr>
            <w:tcW w:w="1275" w:type="dxa"/>
          </w:tcPr>
          <w:p w:rsidR="003C4025" w:rsidRPr="00EB5683" w:rsidRDefault="003C4025" w:rsidP="000C6B1C">
            <w:r w:rsidRPr="00EB5683">
              <w:t>Класс</w:t>
            </w:r>
          </w:p>
        </w:tc>
        <w:tc>
          <w:tcPr>
            <w:tcW w:w="1560" w:type="dxa"/>
          </w:tcPr>
          <w:p w:rsidR="003C4025" w:rsidRPr="00EB5683" w:rsidRDefault="003C4025" w:rsidP="000C6B1C">
            <w:r w:rsidRPr="00EB5683">
              <w:t>Издатель учебника</w:t>
            </w:r>
          </w:p>
        </w:tc>
        <w:tc>
          <w:tcPr>
            <w:tcW w:w="1504" w:type="dxa"/>
          </w:tcPr>
          <w:p w:rsidR="003C4025" w:rsidRPr="00EB5683" w:rsidRDefault="003C4025" w:rsidP="000C6B1C">
            <w:r w:rsidRPr="00EB5683"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proofErr w:type="spellStart"/>
            <w:r w:rsidRPr="00EB5683">
              <w:t>Э.Э.Кац</w:t>
            </w:r>
            <w:proofErr w:type="spellEnd"/>
          </w:p>
        </w:tc>
        <w:tc>
          <w:tcPr>
            <w:tcW w:w="2835" w:type="dxa"/>
          </w:tcPr>
          <w:p w:rsidR="003C4025" w:rsidRPr="009A6292" w:rsidRDefault="003C4025" w:rsidP="000C6B1C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t xml:space="preserve">М., АСТ, </w:t>
            </w:r>
            <w:proofErr w:type="spellStart"/>
            <w:r w:rsidRPr="005E3B7E">
              <w:t>Астрель</w:t>
            </w:r>
            <w:proofErr w:type="spellEnd"/>
          </w:p>
        </w:tc>
        <w:tc>
          <w:tcPr>
            <w:tcW w:w="1504" w:type="dxa"/>
          </w:tcPr>
          <w:p w:rsidR="003C4025" w:rsidRPr="005E3B7E" w:rsidRDefault="003C4025" w:rsidP="000C6B1C">
            <w:r w:rsidRPr="005E3B7E">
              <w:t>2015-2017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F3495C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F3495C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3C4025" w:rsidRPr="00E32EDE" w:rsidRDefault="00F3495C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3C4025" w:rsidRPr="00E32EDE" w:rsidRDefault="00F3495C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толерантное отношение к представителям разных народов и </w:t>
      </w:r>
      <w:proofErr w:type="spellStart"/>
      <w:r w:rsidRPr="00FA29C9">
        <w:t>конфессий</w:t>
      </w:r>
      <w:proofErr w:type="spellEnd"/>
      <w:r w:rsidRPr="00FA29C9">
        <w:t>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lastRenderedPageBreak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№</w:t>
            </w:r>
          </w:p>
        </w:tc>
        <w:tc>
          <w:tcPr>
            <w:tcW w:w="6075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Название раздела</w:t>
            </w:r>
          </w:p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  <w:r w:rsidRPr="00C54103">
              <w:t>Количество часов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Мифы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Народные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Былины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Авторские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Басни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прошлом Родины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8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Прошла по земле война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9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доброте и красоте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10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Удивительные приключения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17</w:t>
            </w:r>
          </w:p>
        </w:tc>
      </w:tr>
    </w:tbl>
    <w:p w:rsidR="0095207B" w:rsidRPr="002F49EC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2F49EC" w:rsidRDefault="00EB5683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2F49EC">
        <w:rPr>
          <w:b/>
          <w:bCs/>
        </w:rPr>
        <w:t xml:space="preserve">      </w:t>
      </w:r>
    </w:p>
    <w:p w:rsidR="0095207B" w:rsidRDefault="002F49EC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B5683">
        <w:rPr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</w:tbl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2F49EC" w:rsidRPr="00077A7B" w:rsidRDefault="002F49EC" w:rsidP="002F49EC">
      <w:pPr>
        <w:rPr>
          <w:b/>
        </w:rPr>
      </w:pPr>
    </w:p>
    <w:p w:rsidR="002F49EC" w:rsidRPr="001F6B61" w:rsidRDefault="002F49EC" w:rsidP="002F49EC">
      <w:pPr>
        <w:spacing w:after="167"/>
        <w:ind w:firstLine="301"/>
      </w:pPr>
      <w:r w:rsidRPr="001F6B61">
        <w:t>Тематическое планирование по математике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proofErr w:type="gramStart"/>
      <w:r w:rsidRPr="001F6B61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1F6B61">
        <w:rPr>
          <w:iCs/>
        </w:rPr>
        <w:t>физминутки</w:t>
      </w:r>
      <w:proofErr w:type="spellEnd"/>
      <w:r w:rsidRPr="001F6B61">
        <w:rPr>
          <w:iCs/>
        </w:rPr>
        <w:t> на уроках);</w:t>
      </w:r>
    </w:p>
    <w:p w:rsidR="002F49EC" w:rsidRPr="002F49EC" w:rsidRDefault="002F49EC" w:rsidP="0095207B">
      <w:pPr>
        <w:numPr>
          <w:ilvl w:val="0"/>
          <w:numId w:val="21"/>
        </w:numPr>
        <w:ind w:left="301"/>
        <w:rPr>
          <w:color w:val="222222"/>
        </w:rPr>
        <w:sectPr w:rsidR="002F49EC" w:rsidRPr="002F49EC" w:rsidSect="002F49EC">
          <w:pgSz w:w="11900" w:h="16836"/>
          <w:pgMar w:top="284" w:right="768" w:bottom="142" w:left="560" w:header="0" w:footer="0" w:gutter="0"/>
          <w:cols w:space="720" w:equalWidth="0">
            <w:col w:w="10580"/>
          </w:cols>
        </w:sectPr>
      </w:pPr>
      <w:r w:rsidRPr="001F6B61">
        <w:rPr>
          <w:iCs/>
        </w:rPr>
        <w:t xml:space="preserve">формирование </w:t>
      </w:r>
      <w:proofErr w:type="spellStart"/>
      <w:r w:rsidRPr="001F6B61">
        <w:rPr>
          <w:iCs/>
        </w:rPr>
        <w:t>ценностно</w:t>
      </w:r>
      <w:proofErr w:type="spellEnd"/>
      <w:r w:rsidRPr="001F6B61">
        <w:rPr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F6B61">
        <w:rPr>
          <w:iCs/>
        </w:rPr>
        <w:t>взаимоподдерживающие</w:t>
      </w:r>
      <w:proofErr w:type="spellEnd"/>
      <w:r w:rsidRPr="001F6B61">
        <w:rPr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pPr w:leftFromText="180" w:rightFromText="180" w:vertAnchor="text" w:horzAnchor="margin" w:tblpXSpec="center" w:tblpY="318"/>
        <w:tblW w:w="10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089"/>
        <w:gridCol w:w="721"/>
        <w:gridCol w:w="707"/>
        <w:gridCol w:w="848"/>
        <w:gridCol w:w="1416"/>
        <w:gridCol w:w="30"/>
        <w:gridCol w:w="30"/>
      </w:tblGrid>
      <w:tr w:rsidR="0095207B" w:rsidRPr="00AA7513" w:rsidTr="00787E9C">
        <w:trPr>
          <w:trHeight w:val="2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№</w:t>
            </w:r>
          </w:p>
        </w:tc>
        <w:tc>
          <w:tcPr>
            <w:tcW w:w="60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Тема урока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AA751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D87E07" w:rsidP="00787E9C">
            <w:pPr>
              <w:ind w:left="100"/>
              <w:rPr>
                <w:sz w:val="20"/>
                <w:szCs w:val="20"/>
              </w:rPr>
            </w:pPr>
            <w:r w:rsidRPr="00D87E07">
              <w:rPr>
                <w:sz w:val="20"/>
              </w:rPr>
              <w:t>Ссылки на ЭОР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план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факт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Мифы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Мифы Древней Греции. «Персей»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0" w:history="1">
              <w:r w:rsidR="00D87E07" w:rsidRPr="008A2907">
                <w:rPr>
                  <w:rStyle w:val="a4"/>
                  <w:sz w:val="20"/>
                  <w:szCs w:val="20"/>
                </w:rPr>
                <w:t>https://infourok.ru/prezentaciya-po-chteniyu-na-temu-persey-drevnegrecheskoe-skazanie-klass-3832573.html</w:t>
              </w:r>
            </w:hyperlink>
          </w:p>
          <w:p w:rsidR="00D87E07" w:rsidRPr="00AA7513" w:rsidRDefault="00D87E07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Славянские мифы «Ярило», «</w:t>
            </w:r>
            <w:proofErr w:type="spellStart"/>
            <w:proofErr w:type="gramStart"/>
            <w:r w:rsidRPr="00AA7513">
              <w:rPr>
                <w:sz w:val="20"/>
                <w:szCs w:val="20"/>
              </w:rPr>
              <w:t>Бабы-Яга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>», «Велес», «Перун» и д.р.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7" w:lineRule="exact"/>
              <w:ind w:left="359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7" w:lineRule="exact"/>
              <w:ind w:left="359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Народные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Русские народные сказки «Иван-царевич и серый волк»,</w:t>
            </w:r>
          </w:p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</w:t>
            </w:r>
            <w:proofErr w:type="spellStart"/>
            <w:r w:rsidRPr="00AA7513">
              <w:rPr>
                <w:sz w:val="20"/>
                <w:szCs w:val="20"/>
              </w:rPr>
              <w:t>Дурак</w:t>
            </w:r>
            <w:proofErr w:type="spellEnd"/>
            <w:r w:rsidRPr="00AA7513">
              <w:rPr>
                <w:sz w:val="20"/>
                <w:szCs w:val="20"/>
              </w:rPr>
              <w:t xml:space="preserve"> и берёза» и д.р. 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Былины.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Былины о русских богатырях «Илья Муромец и </w:t>
            </w:r>
            <w:proofErr w:type="spellStart"/>
            <w:r w:rsidRPr="00AA7513">
              <w:rPr>
                <w:sz w:val="20"/>
                <w:szCs w:val="20"/>
              </w:rPr>
              <w:t>Святогорец</w:t>
            </w:r>
            <w:proofErr w:type="spellEnd"/>
            <w:r w:rsidRPr="00AA7513">
              <w:rPr>
                <w:sz w:val="20"/>
                <w:szCs w:val="20"/>
              </w:rPr>
              <w:t>», «Илья Муромец и Калин-царь».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«Добрыня Никитич и Алёша Попович»</w:t>
            </w:r>
            <w:r w:rsidR="001F6B61">
              <w:rPr>
                <w:sz w:val="20"/>
                <w:szCs w:val="20"/>
              </w:rPr>
              <w:t>, «Богатырское сражение»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1" w:history="1">
              <w:r w:rsidR="00980A8F" w:rsidRPr="008A2907">
                <w:rPr>
                  <w:rStyle w:val="a4"/>
                  <w:sz w:val="20"/>
                  <w:szCs w:val="20"/>
                </w:rPr>
                <w:t>https://nsportal.ru/nachalnaya-shkola/chtenie/2012/02/24/prezentatsiya-bogatyri-zemli-russkoy</w:t>
              </w:r>
            </w:hyperlink>
          </w:p>
          <w:p w:rsidR="00980A8F" w:rsidRPr="00AA7513" w:rsidRDefault="00980A8F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«Богатыри на Соколе-корабле»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3" w:lineRule="exact"/>
              <w:ind w:left="3570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3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Авторские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Сказки А.С. Пушкина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2" w:history="1">
              <w:r w:rsidR="00980A8F" w:rsidRPr="008A2907">
                <w:rPr>
                  <w:rStyle w:val="a4"/>
                  <w:sz w:val="20"/>
                  <w:szCs w:val="20"/>
                </w:rPr>
                <w:t>https://kopilkaurokov.ru/nachalniyeKlassi/presentacii/priezientatsiia-po-skazkam-a-s-pushkina-4-klass-litieraturnoie-chtieniie</w:t>
              </w:r>
            </w:hyperlink>
          </w:p>
          <w:p w:rsidR="00980A8F" w:rsidRPr="00AA7513" w:rsidRDefault="00980A8F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П.П.Ершов «Конёк-горбунок»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3" w:history="1">
              <w:r w:rsidR="00980A8F" w:rsidRPr="008A2907">
                <w:rPr>
                  <w:rStyle w:val="a4"/>
                  <w:sz w:val="20"/>
                  <w:szCs w:val="20"/>
                </w:rPr>
                <w:t>https://videouroki.net/razrabotki/prezentatsiya-dlya-nachalnykh-klassov-pp-ershov-konek-gorbunok.html</w:t>
              </w:r>
            </w:hyperlink>
          </w:p>
          <w:p w:rsidR="00980A8F" w:rsidRPr="00AA7513" w:rsidRDefault="00980A8F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Default="0095207B" w:rsidP="00787E9C">
            <w:pPr>
              <w:spacing w:line="190" w:lineRule="exact"/>
              <w:ind w:left="4600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0" w:lineRule="exact"/>
              <w:ind w:left="460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Басни.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Эзоп «Орёл и лисица», «Лев и заяц».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4" w:history="1">
              <w:r w:rsidR="00980A8F" w:rsidRPr="008A2907">
                <w:rPr>
                  <w:rStyle w:val="a4"/>
                  <w:sz w:val="20"/>
                  <w:szCs w:val="20"/>
                </w:rPr>
                <w:t>https://tesla-hall.ru/sochineniya/ezop-biografiya-dlya-detej-i-</w:t>
              </w:r>
              <w:r w:rsidR="00980A8F" w:rsidRPr="008A2907">
                <w:rPr>
                  <w:rStyle w:val="a4"/>
                  <w:sz w:val="20"/>
                  <w:szCs w:val="20"/>
                </w:rPr>
                <w:lastRenderedPageBreak/>
                <w:t>interesnye-fakty</w:t>
              </w:r>
            </w:hyperlink>
          </w:p>
          <w:p w:rsidR="00980A8F" w:rsidRPr="00AA7513" w:rsidRDefault="00980A8F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10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И.А.Крылов «Свинья под дубом», «</w:t>
            </w:r>
            <w:proofErr w:type="spellStart"/>
            <w:r w:rsidRPr="00AA7513">
              <w:rPr>
                <w:sz w:val="20"/>
                <w:szCs w:val="20"/>
              </w:rPr>
              <w:t>Осёл</w:t>
            </w:r>
            <w:proofErr w:type="spellEnd"/>
            <w:r w:rsidRPr="00AA7513">
              <w:rPr>
                <w:sz w:val="20"/>
                <w:szCs w:val="20"/>
              </w:rPr>
              <w:t xml:space="preserve"> и соловей»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5" w:history="1">
              <w:r w:rsidR="004E49A6" w:rsidRPr="008A2907">
                <w:rPr>
                  <w:rStyle w:val="a4"/>
                  <w:sz w:val="20"/>
                  <w:szCs w:val="20"/>
                </w:rPr>
                <w:t>https://ppt4web.ru/nachalnaja-shkola/prezentacija-k-uroku-literaturnogo-chtenija-v-klasse-po-teme-basni-iakrylova.html</w:t>
              </w:r>
            </w:hyperlink>
          </w:p>
          <w:p w:rsidR="004E49A6" w:rsidRPr="00AA7513" w:rsidRDefault="004E49A6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5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Слово о родной земле.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6" w:history="1">
              <w:r w:rsidR="004E49A6" w:rsidRPr="008A2907">
                <w:rPr>
                  <w:rStyle w:val="a4"/>
                  <w:sz w:val="20"/>
                  <w:szCs w:val="20"/>
                </w:rPr>
                <w:t>https://infourok.ru/prezentaciya-na-temu-sergey-esenin-1405116.html</w:t>
              </w:r>
            </w:hyperlink>
          </w:p>
          <w:p w:rsidR="004E49A6" w:rsidRPr="00AA7513" w:rsidRDefault="004E49A6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прошлом Родины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</w:t>
            </w:r>
            <w:r w:rsidR="001F6B61">
              <w:rPr>
                <w:sz w:val="20"/>
                <w:szCs w:val="20"/>
              </w:rPr>
              <w:t>Ф.Н.Глинка «Москва» стр.90-93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7" w:history="1">
              <w:r w:rsidR="004E49A6" w:rsidRPr="008A2907">
                <w:rPr>
                  <w:rStyle w:val="a4"/>
                  <w:sz w:val="20"/>
                  <w:szCs w:val="20"/>
                </w:rPr>
                <w:t>https://nsportal.ru/nachalnaya-shkola/chtenie/2016/02/08/prezentatsiya-glinka-f-n-moskva</w:t>
              </w:r>
            </w:hyperlink>
          </w:p>
          <w:p w:rsidR="004E49A6" w:rsidRPr="00AA7513" w:rsidRDefault="004E49A6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Прошла по земле война.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 С.Алексеева «Брестская крепость»</w:t>
            </w:r>
            <w:proofErr w:type="gramStart"/>
            <w:r w:rsidR="001F6B61">
              <w:rPr>
                <w:sz w:val="20"/>
                <w:szCs w:val="20"/>
              </w:rPr>
              <w:t>,К</w:t>
            </w:r>
            <w:proofErr w:type="gramEnd"/>
            <w:r w:rsidR="001F6B61">
              <w:rPr>
                <w:sz w:val="20"/>
                <w:szCs w:val="20"/>
              </w:rPr>
              <w:t>. Симонов «Майор привез  мальчишку на лафете», А. Ахматова «Памяти друга»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(стр.108-109)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Рассказы о великих сражениях на берегах Волги.  Сергей Алексеев «Тридцать три богатыря»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добре и красоте.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«Притча о двух волках», «Сказка о добре и зле», «Младшая дочь вождя».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Default="00F3495C" w:rsidP="00787E9C">
            <w:pPr>
              <w:rPr>
                <w:sz w:val="20"/>
                <w:szCs w:val="20"/>
              </w:rPr>
            </w:pPr>
            <w:hyperlink r:id="rId18" w:history="1">
              <w:r w:rsidR="004E49A6" w:rsidRPr="008A2907">
                <w:rPr>
                  <w:rStyle w:val="a4"/>
                  <w:sz w:val="20"/>
                  <w:szCs w:val="20"/>
                </w:rPr>
                <w:t>https://nsportal.ru/nachalnaya-shkola/orkse/2019/10/30/pritcha-o-dobre-i-zle-dva-volka</w:t>
              </w:r>
            </w:hyperlink>
          </w:p>
          <w:p w:rsidR="004E49A6" w:rsidRPr="00AA7513" w:rsidRDefault="004E49A6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81" w:type="dxa"/>
            <w:gridSpan w:val="5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Удивительны </w:t>
            </w:r>
            <w:r w:rsidRPr="00AA7513">
              <w:rPr>
                <w:b/>
                <w:bCs/>
                <w:iCs/>
                <w:sz w:val="20"/>
                <w:szCs w:val="20"/>
              </w:rPr>
              <w:t>приключения.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1F6B61">
        <w:trPr>
          <w:gridAfter w:val="1"/>
          <w:wAfter w:w="30" w:type="dxa"/>
          <w:trHeight w:val="1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89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Мои любимые книги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4E49A6" w:rsidRDefault="004E49A6" w:rsidP="005840CE">
      <w:pPr>
        <w:jc w:val="center"/>
        <w:rPr>
          <w:b/>
        </w:rPr>
      </w:pPr>
    </w:p>
    <w:p w:rsidR="004E49A6" w:rsidRDefault="004E49A6" w:rsidP="005840CE">
      <w:pPr>
        <w:jc w:val="center"/>
        <w:rPr>
          <w:b/>
        </w:rPr>
      </w:pPr>
    </w:p>
    <w:p w:rsidR="004E49A6" w:rsidRDefault="004E49A6" w:rsidP="005840CE">
      <w:pPr>
        <w:jc w:val="center"/>
        <w:rPr>
          <w:b/>
        </w:rPr>
      </w:pPr>
    </w:p>
    <w:p w:rsidR="004E49A6" w:rsidRDefault="004E49A6" w:rsidP="005840CE">
      <w:pPr>
        <w:jc w:val="center"/>
        <w:rPr>
          <w:b/>
        </w:rPr>
      </w:pPr>
    </w:p>
    <w:p w:rsidR="004E49A6" w:rsidRDefault="004E49A6" w:rsidP="005840CE">
      <w:pPr>
        <w:jc w:val="center"/>
        <w:rPr>
          <w:b/>
        </w:rPr>
      </w:pPr>
    </w:p>
    <w:p w:rsidR="005840CE" w:rsidRPr="00EB5683" w:rsidRDefault="00EB5683" w:rsidP="005840CE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5840CE" w:rsidRPr="00EB5683" w:rsidRDefault="005840CE" w:rsidP="005840CE">
      <w:pPr>
        <w:jc w:val="center"/>
        <w:rPr>
          <w:b/>
        </w:rPr>
      </w:pPr>
    </w:p>
    <w:p w:rsidR="005840CE" w:rsidRPr="00EB5683" w:rsidRDefault="005840CE" w:rsidP="005840CE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5840CE" w:rsidRPr="00EB5683" w:rsidRDefault="005840CE" w:rsidP="005840CE">
      <w:r w:rsidRPr="00EB5683">
        <w:t xml:space="preserve">Класс: 4 </w:t>
      </w:r>
      <w:r w:rsidR="00736F68">
        <w:t>Г</w:t>
      </w:r>
    </w:p>
    <w:p w:rsidR="005840CE" w:rsidRPr="00EB5683" w:rsidRDefault="00EB5683" w:rsidP="00EB5683">
      <w:r>
        <w:t xml:space="preserve">Учитель: </w:t>
      </w:r>
      <w:r w:rsidR="00736F68">
        <w:t>Кулагина С.А.</w:t>
      </w:r>
    </w:p>
    <w:p w:rsidR="005840CE" w:rsidRPr="001922A3" w:rsidRDefault="005840CE" w:rsidP="005840CE">
      <w:pPr>
        <w:jc w:val="center"/>
        <w:rPr>
          <w:b/>
        </w:rPr>
      </w:pPr>
    </w:p>
    <w:p w:rsidR="005840CE" w:rsidRDefault="00736F68" w:rsidP="005840CE">
      <w:pPr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736F68" w:rsidRPr="00974F98" w:rsidRDefault="00736F68" w:rsidP="00584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83"/>
        <w:gridCol w:w="1207"/>
        <w:gridCol w:w="1137"/>
        <w:gridCol w:w="2087"/>
        <w:gridCol w:w="2087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21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7B"/>
    <w:rsid w:val="001F6B61"/>
    <w:rsid w:val="0020670A"/>
    <w:rsid w:val="00227802"/>
    <w:rsid w:val="002F49EC"/>
    <w:rsid w:val="00315371"/>
    <w:rsid w:val="003162A4"/>
    <w:rsid w:val="0032136D"/>
    <w:rsid w:val="00327B6C"/>
    <w:rsid w:val="003866F3"/>
    <w:rsid w:val="00391425"/>
    <w:rsid w:val="003C4025"/>
    <w:rsid w:val="004D43B4"/>
    <w:rsid w:val="004E49A6"/>
    <w:rsid w:val="005840CE"/>
    <w:rsid w:val="006212BE"/>
    <w:rsid w:val="00736F68"/>
    <w:rsid w:val="0079344A"/>
    <w:rsid w:val="008E1DA8"/>
    <w:rsid w:val="008F1583"/>
    <w:rsid w:val="0093785F"/>
    <w:rsid w:val="0095207B"/>
    <w:rsid w:val="0096110C"/>
    <w:rsid w:val="00980A8F"/>
    <w:rsid w:val="00A7095E"/>
    <w:rsid w:val="00B308E0"/>
    <w:rsid w:val="00B4475A"/>
    <w:rsid w:val="00B64D51"/>
    <w:rsid w:val="00BA4DC8"/>
    <w:rsid w:val="00BF1010"/>
    <w:rsid w:val="00C027A3"/>
    <w:rsid w:val="00C54103"/>
    <w:rsid w:val="00CB78E6"/>
    <w:rsid w:val="00CD40F6"/>
    <w:rsid w:val="00CE4125"/>
    <w:rsid w:val="00D371A0"/>
    <w:rsid w:val="00D87E07"/>
    <w:rsid w:val="00D934AF"/>
    <w:rsid w:val="00E25236"/>
    <w:rsid w:val="00E338F5"/>
    <w:rsid w:val="00E45584"/>
    <w:rsid w:val="00EB5683"/>
    <w:rsid w:val="00EF62A9"/>
    <w:rsid w:val="00F3495C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7095E"/>
    <w:pPr>
      <w:widowControl w:val="0"/>
      <w:autoSpaceDE w:val="0"/>
      <w:autoSpaceDN w:val="0"/>
      <w:ind w:left="761" w:hanging="36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2136D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2136D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videouroki.net/razrabotki/prezentatsiya-dlya-nachalnykh-klassov-pp-ershov-konek-gorbunok.html" TargetMode="External"/><Relationship Id="rId18" Type="http://schemas.openxmlformats.org/officeDocument/2006/relationships/hyperlink" Target="https://nsportal.ru/nachalnaya-shkola/orkse/2019/10/30/pritcha-o-dobre-i-zle-dva-volka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kopilkaurokov.ru/nachalniyeKlassi/presentacii/priezientatsiia-po-skazkam-a-s-pushkina-4-klass-litieraturnoie-chtieniie" TargetMode="External"/><Relationship Id="rId17" Type="http://schemas.openxmlformats.org/officeDocument/2006/relationships/hyperlink" Target="https://nsportal.ru/nachalnaya-shkola/chtenie/2016/02/08/prezentatsiya-glinka-f-n-mosk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na-temu-sergey-esenin-140511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hyperlink" Target="https://nsportal.ru/nachalnaya-shkola/chtenie/2012/02/24/prezentatsiya-bogatyri-zemli-russk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nachalnaja-shkola/prezentacija-k-uroku-literaturnogo-chtenija-v-klasse-po-teme-basni-iakrylova.html" TargetMode="External"/><Relationship Id="rId10" Type="http://schemas.openxmlformats.org/officeDocument/2006/relationships/hyperlink" Target="https://infourok.ru/prezentaciya-po-chteniyu-na-temu-persey-drevnegrecheskoe-skazanie-klass-383257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Relationship Id="rId14" Type="http://schemas.openxmlformats.org/officeDocument/2006/relationships/hyperlink" Target="https://tesla-hall.ru/sochineniya/ezop-biografiya-dlya-detej-i-interesnye-f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676C-EB09-4A23-BAD3-DCBE8F64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23</cp:revision>
  <dcterms:created xsi:type="dcterms:W3CDTF">2021-09-07T16:27:00Z</dcterms:created>
  <dcterms:modified xsi:type="dcterms:W3CDTF">2023-10-17T17:07:00Z</dcterms:modified>
</cp:coreProperties>
</file>