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C97C09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09" w:rsidRDefault="008645B2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Соглашение о предоставлении субсидии из бюджета муниципального образования "Карсунский район" Ульяновской области муниципальным бюджетным учреждениям муниципального образования "Карсунский район" Ульяновской области на финансовое обеспечение выполнения мун</w:t>
            </w:r>
            <w:r>
              <w:rPr>
                <w:b/>
                <w:bCs/>
                <w:color w:val="000000"/>
                <w:sz w:val="28"/>
                <w:szCs w:val="28"/>
              </w:rPr>
              <w:t>иципального задания на оказание муниципальных услуг (выполнение работ)</w:t>
            </w:r>
          </w:p>
          <w:p w:rsidR="00C97C09" w:rsidRDefault="00C97C09"/>
          <w:p w:rsidR="00C97C09" w:rsidRDefault="00C97C09"/>
          <w:p w:rsidR="00C97C09" w:rsidRDefault="00C97C09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/>
            </w:tblPr>
            <w:tblGrid>
              <w:gridCol w:w="10275"/>
            </w:tblGrid>
            <w:tr w:rsidR="00C97C09">
              <w:tc>
                <w:tcPr>
                  <w:tcW w:w="1027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р.п.Карсун 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97C09" w:rsidRDefault="00C97C09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/>
            </w:tblPr>
            <w:tblGrid>
              <w:gridCol w:w="5137"/>
              <w:gridCol w:w="5138"/>
            </w:tblGrid>
            <w:tr w:rsidR="00C97C09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03.01.2025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№ 13  </w:t>
                  </w:r>
                </w:p>
              </w:tc>
            </w:tr>
          </w:tbl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Муниципальное казённое учреждение «Управление образования администрации муниципального образования"Карсунский район"Ульяновской области»</w:t>
            </w:r>
            <w:r>
              <w:rPr>
                <w:color w:val="000000"/>
                <w:sz w:val="28"/>
                <w:szCs w:val="28"/>
              </w:rPr>
              <w:t>, которому как главному распорядителю средств бюджета муниципального образования "Карсунский район" Ульяновской области доведены лимиты бюджетных обязательств на предоставление субсидий муниципальным бюджетным учреждениям Карсунского района Ульяновской обл</w:t>
            </w:r>
            <w:r>
              <w:rPr>
                <w:color w:val="000000"/>
                <w:sz w:val="28"/>
                <w:szCs w:val="28"/>
              </w:rPr>
              <w:t>асти на финансовое обеспечение выполнения ими муниципального задания на оказание муниципальных услуг (выполнение работ), именуемый в дальнейшем «Учредитель», в лице Ермохиной Ю.Н., действующего на основании Устава с одной стороны, и Муниципальное бюджетное</w:t>
            </w:r>
            <w:r>
              <w:rPr>
                <w:color w:val="000000"/>
                <w:sz w:val="28"/>
                <w:szCs w:val="28"/>
              </w:rPr>
              <w:t xml:space="preserve"> общеобразовательное учреждение Карсунская средняя школа имени Д.Н.Гусева, именуемое в дальнейшем «Учреждение», в лице исполняющего обязанности директора МБОУ Карсунская СШ им. Д. Н. Гусева Шамшетдинова Шамиля Рестемовича, действующего на основании Устава,</w:t>
            </w:r>
            <w:r>
              <w:rPr>
                <w:color w:val="000000"/>
                <w:sz w:val="28"/>
                <w:szCs w:val="28"/>
              </w:rPr>
              <w:t xml:space="preserve"> с другой стороны, далее именуемые «Стороны», в соответствии с Бюджетным кодексом Российской Федерации, Положением о формировании государственного задания на оказание государственных услуг (выполнение работ) в отношении областных государственных учреждений</w:t>
            </w:r>
            <w:r>
              <w:rPr>
                <w:color w:val="000000"/>
                <w:sz w:val="28"/>
                <w:szCs w:val="28"/>
              </w:rPr>
              <w:t> и финансовом обеспечении выполнения государственного задания, утвержденным постановлением Правительства Ульяновской области от 10.09.2015 № 457-П «О порядке формирования государственного задания на оказание государственных услуг (выполнение работ) в отнош</w:t>
            </w:r>
            <w:r>
              <w:rPr>
                <w:color w:val="000000"/>
                <w:sz w:val="28"/>
                <w:szCs w:val="28"/>
              </w:rPr>
              <w:t>ении государственных учреждений Ульяновской области и финансового обеспечения выполнения государственного задания» (далее – Положение), заключили настоящее Соглашение о нижеследующем.</w:t>
            </w:r>
          </w:p>
          <w:p w:rsidR="00C97C09" w:rsidRDefault="00C97C09"/>
          <w:p w:rsidR="00C97C09" w:rsidRDefault="00C97C09"/>
          <w:p w:rsidR="00C97C09" w:rsidRDefault="008645B2">
            <w:pPr>
              <w:ind w:firstLine="700"/>
              <w:jc w:val="center"/>
            </w:pPr>
            <w:r>
              <w:rPr>
                <w:color w:val="000000"/>
                <w:sz w:val="28"/>
                <w:szCs w:val="28"/>
              </w:rPr>
              <w:t>1. Предмет Соглашения</w:t>
            </w:r>
          </w:p>
          <w:p w:rsidR="00C97C09" w:rsidRDefault="008645B2">
            <w:pPr>
              <w:ind w:firstLine="700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8645B2">
            <w:pPr>
              <w:ind w:firstLine="70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1.1. Предметом настоящего Соглашения является </w:t>
            </w:r>
            <w:r>
              <w:rPr>
                <w:color w:val="000000"/>
                <w:sz w:val="28"/>
                <w:szCs w:val="28"/>
              </w:rPr>
              <w:t>предоставление Учреждению из бюджета муниципального образования "Карсунский район" Ульяновской области в 2025 году / 2026 - 2027 годах субсидии на финансовое обеспечение выполнения муниципального задания на оказание муниципальных услуг (выполнение работ) №</w:t>
            </w:r>
            <w:r>
              <w:rPr>
                <w:color w:val="000000"/>
                <w:sz w:val="28"/>
                <w:szCs w:val="28"/>
              </w:rPr>
              <w:t xml:space="preserve"> 5 от 28.11.2024 года (далее – Субсидия, государственное задание).</w:t>
            </w:r>
          </w:p>
          <w:p w:rsidR="00C97C09" w:rsidRDefault="00C97C09"/>
          <w:p w:rsidR="00C97C09" w:rsidRDefault="00C97C09"/>
          <w:p w:rsidR="00C97C09" w:rsidRDefault="008645B2">
            <w:pPr>
              <w:ind w:firstLine="700"/>
              <w:jc w:val="center"/>
            </w:pPr>
            <w:r>
              <w:rPr>
                <w:color w:val="000000"/>
                <w:sz w:val="28"/>
                <w:szCs w:val="28"/>
              </w:rPr>
              <w:t>2.Порядок, условия предоставления Субсидии и финансовое обеспечение выполнения муниципального задания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2.1. Субсидия предоставляется Учреждению на оказание муниципальных услуг (выполнени</w:t>
            </w:r>
            <w:r>
              <w:rPr>
                <w:color w:val="000000"/>
                <w:sz w:val="28"/>
                <w:szCs w:val="28"/>
              </w:rPr>
              <w:t>е работ), установленных в муниципальном задании.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2.2. Субсидия предоставляется в пределах лимитов бюджетных обязательств, доведённых Учредителю как главному распорядителю средств  бюджета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образования "Карсунский район" Ульяновской области по</w:t>
            </w:r>
            <w:r>
              <w:rPr>
                <w:color w:val="000000"/>
                <w:sz w:val="28"/>
                <w:szCs w:val="28"/>
              </w:rPr>
              <w:t xml:space="preserve"> кодам классификации расходов бюджетов Российской Федерации (далее - коды БК), в следующем размере: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2025 году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2 330 999 (Два миллиона триста тридцать тысяч девятьсот девяносто девять) рублей 29 копеек - по коду БК 573 0702 2740153030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3 905 401 (Три </w:t>
            </w:r>
            <w:r>
              <w:rPr>
                <w:color w:val="000000"/>
                <w:sz w:val="28"/>
                <w:szCs w:val="28"/>
              </w:rPr>
              <w:t>миллиона девятьсот пять тысяч четыреста один) рубль 50 копеек - по коду БК 573 0702 2740140620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68 436 (Шестьдесят восемь тысяч четыреста тридцать шесть) рублей 00 копеек - по коду БК 573 0702 2740171170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50 000 (Пятьдесят тысяч) рублей 06 копеек -</w:t>
            </w:r>
            <w:r>
              <w:rPr>
                <w:color w:val="000000"/>
                <w:sz w:val="28"/>
                <w:szCs w:val="28"/>
              </w:rPr>
              <w:t xml:space="preserve"> по коду БК 573 0702 2740171150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643 282 (Шестьсот сорок три тысячи двести восемьдесят два) рубля 50 копеек - по коду БК 573 0702 2740172110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3 957 394 (Три миллиона девятьсот пятьдесят семь тысяч триста девяносто четыре) рубля 26 копеек - по коду </w:t>
            </w:r>
            <w:r>
              <w:rPr>
                <w:color w:val="000000"/>
                <w:sz w:val="28"/>
                <w:szCs w:val="28"/>
              </w:rPr>
              <w:t>БК 573 0702 27401L3040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8 500 (Восемь тысяч пятьсот) рублей 00 копеек - по коду БК 573 0702 2740171200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48 618 282 (Сорок восемь миллионов шестьсот восемнадцать тысяч двести восемьдесят два) рубля 44 копейки - по коду БК 573 0702 2740171140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5 000 (Триста тридцать пять тысяч) рублей 60 копеек - по коду БК 573 0709 271EB51790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21 500 (Двадцать одна тысяча пятьсот) рублей 65 копеек - по коду БК 573 0709 2740440640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14 185 336 (Четырнадцать миллионов сто восемьдесят пять тысяч триста трид</w:t>
            </w:r>
            <w:r>
              <w:rPr>
                <w:color w:val="000000"/>
                <w:sz w:val="28"/>
                <w:szCs w:val="28"/>
              </w:rPr>
              <w:t>цать шесть) рублей 38 копеек - по коду БК 573 0702 2740124210 611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2026 году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2740153030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2740140620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2740171170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2740171150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2740172110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27401L3040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2740171200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2740171140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0709 271EB51790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0709 2740440640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2740124210 611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2027 году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2740153030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2740140620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</w:t>
            </w:r>
            <w:r>
              <w:rPr>
                <w:color w:val="000000"/>
                <w:sz w:val="28"/>
                <w:szCs w:val="28"/>
              </w:rPr>
              <w:t>71170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2740171150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2740172110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27401L3040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</w:t>
            </w:r>
            <w:r>
              <w:rPr>
                <w:color w:val="000000"/>
                <w:sz w:val="28"/>
                <w:szCs w:val="28"/>
              </w:rPr>
              <w:t>71200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0702 2740171140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0709 271EB51790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0 (Ноль) рублей 00 копеек - по коду БК 573 0709 2740440640 611;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0 (Ноль) рублей 00 копеек - по коду БК 573 0702 27401</w:t>
            </w:r>
            <w:r>
              <w:rPr>
                <w:color w:val="000000"/>
                <w:sz w:val="28"/>
                <w:szCs w:val="28"/>
              </w:rPr>
              <w:t>24210 611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2.3.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учётом базовых нормативов затрат и корректирующих коэффициентов к базов</w:t>
            </w:r>
            <w:r>
              <w:rPr>
                <w:color w:val="000000"/>
                <w:sz w:val="28"/>
                <w:szCs w:val="28"/>
              </w:rPr>
              <w:t>ым нормативам затрат и нормативных затрат на выполнение работ, определённых в соответствии с Положением.</w:t>
            </w:r>
          </w:p>
          <w:p w:rsidR="00C97C09" w:rsidRDefault="00C97C09"/>
          <w:p w:rsidR="00C97C09" w:rsidRDefault="00C97C09"/>
          <w:p w:rsidR="00C97C09" w:rsidRDefault="008645B2">
            <w:pPr>
              <w:ind w:firstLine="700"/>
              <w:jc w:val="center"/>
            </w:pPr>
            <w:r>
              <w:rPr>
                <w:color w:val="000000"/>
                <w:sz w:val="28"/>
                <w:szCs w:val="28"/>
              </w:rPr>
              <w:t>3. Взаимодействие Сторон</w:t>
            </w:r>
          </w:p>
          <w:p w:rsidR="00C97C09" w:rsidRDefault="008645B2">
            <w:pPr>
              <w:ind w:firstLine="700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8645B2">
            <w:pPr>
              <w:ind w:firstLine="700"/>
            </w:pPr>
            <w:r>
              <w:rPr>
                <w:color w:val="000000"/>
                <w:sz w:val="28"/>
                <w:szCs w:val="28"/>
              </w:rPr>
              <w:t>3.1. Учредитель обязуется:        </w:t>
            </w:r>
          </w:p>
          <w:p w:rsidR="00C97C09" w:rsidRDefault="008645B2">
            <w:pPr>
              <w:ind w:firstLine="700"/>
            </w:pPr>
            <w:r>
              <w:rPr>
                <w:color w:val="000000"/>
                <w:sz w:val="28"/>
                <w:szCs w:val="28"/>
              </w:rPr>
              <w:t>3.1.1. Обеспечить предоставление Субсидии в соответствии с разделом 2 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3.1.2. Размещать на официальном сайте в информационно-телекоммуникационной сети «Интернет» по размещению информацию о государственных и муниципальных учреждениях (</w:t>
            </w:r>
            <w:r>
              <w:rPr>
                <w:color w:val="000000"/>
                <w:sz w:val="28"/>
                <w:szCs w:val="28"/>
              </w:rPr>
              <w:t>www.bus.gov.ru) значения базовых нормативов затрат на оказание государственных услуг и отраслевых корректирующих коэффициентов, на основании которых рассчитан размер Субсидии, указанный в пункте 2.2 не позднее 10 рабочих дней после утверждения значения баз</w:t>
            </w:r>
            <w:r>
              <w:rPr>
                <w:color w:val="000000"/>
                <w:sz w:val="28"/>
                <w:szCs w:val="28"/>
              </w:rPr>
              <w:t>овых нормативов затрат на оказание государственных услуг и отраслевых корректирующих коэффициентов (внесения в них изменений);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3.1.3. Обеспечить перечисление Субсидии на соответствующий счет, указанный в разделе 6 настоящего Соглашения, согласно графику пе</w:t>
            </w:r>
            <w:r>
              <w:rPr>
                <w:color w:val="000000"/>
                <w:sz w:val="28"/>
                <w:szCs w:val="28"/>
              </w:rPr>
              <w:t>речисления Субсидии в соответствии с приложением № 1 к настоящему Соглашению, являющимся неотъемлемой частью 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3.1.4. Осуществлять контроль за выполнением Учреждением муниципального задания в порядке, предусмотренном муниципальным зада</w:t>
            </w:r>
            <w:r>
              <w:rPr>
                <w:color w:val="000000"/>
                <w:sz w:val="28"/>
                <w:szCs w:val="28"/>
              </w:rPr>
              <w:t>нием, и соблюдением Учреждением условий, установленных Положением и настоящим Соглашением;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3.1.5. 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</w:t>
            </w:r>
            <w:r>
              <w:rPr>
                <w:color w:val="000000"/>
                <w:sz w:val="28"/>
                <w:szCs w:val="28"/>
              </w:rPr>
              <w:t>я по результатам их рассмотрения не позднее 15 рабочих дней после получения предложений;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3.1.6. Вносить изменения в показатели, характеризующие объем муниципальных услуг, установленные в муниципальном задании, на основании данных предварительного отчета об</w:t>
            </w:r>
            <w:r>
              <w:rPr>
                <w:color w:val="000000"/>
                <w:sz w:val="28"/>
                <w:szCs w:val="28"/>
              </w:rPr>
              <w:t xml:space="preserve"> исполнении муниципального задания в текущем финансовом году, представленного Учреждением в соответствии с пунктом 3.3.4.1 настоящего Соглашения, в течение 30 дней со дня его представления Учреждением, в случае если на основании данных предварительного отч</w:t>
            </w:r>
            <w:r>
              <w:rPr>
                <w:color w:val="000000"/>
                <w:sz w:val="28"/>
                <w:szCs w:val="28"/>
              </w:rPr>
              <w:t>ета об исполнении муниципального задания необходимо уменьшить показатели, характеризующие объем государственных услуг, установленные в государственном задании;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3.1.7. Направлять Учреждению расчет средств Субсидии, подлежащих возврату в бюджет муниципальног</w:t>
            </w:r>
            <w:r>
              <w:rPr>
                <w:color w:val="000000"/>
                <w:sz w:val="28"/>
                <w:szCs w:val="28"/>
              </w:rPr>
              <w:t>о образования "Карсунский район" Ульяновской области на 1 января 2026 г., составленный по форме согласно приложению №2 к настоящему Соглашению, являющемуся неотъемлемой частью настоящего Соглашения, в срок до «15 » декабря 2025 г.;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3.1.8. Принимать меры, о</w:t>
            </w:r>
            <w:r>
              <w:rPr>
                <w:color w:val="000000"/>
                <w:sz w:val="28"/>
                <w:szCs w:val="28"/>
              </w:rPr>
              <w:t>беспечивающие перечисление Учреждением Учредителю в 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"Карсунский район" Ульяновской области средств Субсидии, подлежащих возврату в  бюджет муниципального образования "Карсунский район"Ульяновской области на 1 </w:t>
            </w:r>
            <w:r>
              <w:rPr>
                <w:color w:val="000000"/>
                <w:sz w:val="28"/>
                <w:szCs w:val="28"/>
              </w:rPr>
              <w:lastRenderedPageBreak/>
              <w:t>января 2026 г</w:t>
            </w:r>
            <w:r>
              <w:rPr>
                <w:color w:val="000000"/>
                <w:sz w:val="28"/>
                <w:szCs w:val="28"/>
              </w:rPr>
              <w:t>., в соответствии с расчетом, указанным в пункте 3.1.7 настоящего Соглашения, в срок, указанный в пункте 3.3.2 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3.1.9. Выполнять иные обязательства, установленные бюджетным законодательством Российской Федерации, Положением и настоящи</w:t>
            </w:r>
            <w:r>
              <w:rPr>
                <w:color w:val="000000"/>
                <w:sz w:val="28"/>
                <w:szCs w:val="28"/>
              </w:rPr>
              <w:t>м Соглашением: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 Учредитель вправе: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3.2.1. Запрашивать у Учреждения информацию и документы, необходимые для осуществления контроля за выполнением Учреждением муниципального задания;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 Принимать решение об изменении размера Субсидии: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3.2.2.1. При со</w:t>
            </w:r>
            <w:r>
              <w:rPr>
                <w:color w:val="000000"/>
                <w:sz w:val="28"/>
                <w:szCs w:val="28"/>
              </w:rPr>
              <w:t>ответствующем изменении показателей, характеризующих объем муниципальных услуг (работ), установленных в муниципальном задании, в случае: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3.2.2.1.1. Уменьшения Учредителю ранее утвержденных лимитов бюджетных обязательств, указанных в пункте 2.2 настоящего С</w:t>
            </w:r>
            <w:r>
              <w:rPr>
                <w:color w:val="000000"/>
                <w:sz w:val="28"/>
                <w:szCs w:val="28"/>
              </w:rPr>
              <w:t>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3.2.2.1.2. Увеличения (при наличии у Учредителя лимитов бюджетных обязательств, указанных в пункте 2.2 настоящего Соглашения) или уменьшения потребности в оказании муниципальных услуг (выполнении работ);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3.2.2.1.3. Принятия решения по результата</w:t>
            </w:r>
            <w:r>
              <w:rPr>
                <w:color w:val="000000"/>
                <w:sz w:val="28"/>
                <w:szCs w:val="28"/>
              </w:rPr>
              <w:t>м рассмотрения предложений Учреждения, направленных в соответствии с пунктом 3.4.2 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3.2.2.2. Без соответствующего изменения показателей, характеризующих объем муниципальных услуг (работ), установленных в муниципальном задании, в случа</w:t>
            </w:r>
            <w:r>
              <w:rPr>
                <w:color w:val="000000"/>
                <w:sz w:val="28"/>
                <w:szCs w:val="28"/>
              </w:rPr>
              <w:t>е: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3.2.2.2.1. Внесения изменений в нормативные затраты в связи с изменением размера выплат работникам (отдельным категориям работников) Учреждения, непосредственно связанных с оказанием муниципальной услуги (выполнением работы), иных выплат, связанных с ок</w:t>
            </w:r>
            <w:r>
              <w:rPr>
                <w:color w:val="000000"/>
                <w:sz w:val="28"/>
                <w:szCs w:val="28"/>
              </w:rPr>
              <w:t>азанием муниципальной услуги (выполнением работы), приводящих к изменению объема финансового обеспечения выполнения муниципального задания, вследствие принятия нормативных правовых актов Российской Федерации, Ульяновской области, (внесением изменений в нор</w:t>
            </w:r>
            <w:r>
              <w:rPr>
                <w:color w:val="000000"/>
                <w:sz w:val="28"/>
                <w:szCs w:val="28"/>
              </w:rPr>
              <w:t>мативные правовые акты Российской Федерации, Ульяновской области);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3.2.2.2.2. Роста кредиторской задолженности в течение текущего года (по итогам предшествующего) финансового года;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3.2.2.2.3. Недостижения целевого показателя по оптимизации расходов на коммунальные услуги в рамках повышения энергоэффективности;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3.2.2.2.4. Недостижения целевых показателей по росту размера оплаты труда отдельных категорий работников, определенных Указом</w:t>
            </w:r>
            <w:r>
              <w:rPr>
                <w:color w:val="000000"/>
                <w:sz w:val="28"/>
                <w:szCs w:val="28"/>
              </w:rPr>
              <w:t xml:space="preserve"> Президента Российской Федерации от 07.05.2012 № 597 «О мероприятиях по реализации государственной социальной политики», Указом Президента Российской Федерации от 01.06.2012 № 761 «О Национальной стратегии действий в интересах детей на 2012 - 2017 годы» и </w:t>
            </w:r>
            <w:r>
              <w:rPr>
                <w:color w:val="000000"/>
                <w:sz w:val="28"/>
                <w:szCs w:val="28"/>
              </w:rPr>
              <w:t>Указом Президента Российской Федерации от 28.12.2012 № 1688 «О некоторых мерах по реализации государственной политики в сфере защиты детей-сирот и детей, оставшихся без попечения родителей»;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3.2.2.2.5. Недостижения целевых показателей по привлечению дополн</w:t>
            </w:r>
            <w:r>
              <w:rPr>
                <w:color w:val="000000"/>
                <w:sz w:val="28"/>
                <w:szCs w:val="28"/>
              </w:rPr>
              <w:t>ительных внебюджетных средств (спонсорские поступления, доходы от приносящей доход деятельности и т.д.);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3.2.2.2.6. Неэффективного использования имущества учреждения, находящегося в оперативном управлении, в том числе роста дебиторской задолженности по дог</w:t>
            </w:r>
            <w:r>
              <w:rPr>
                <w:color w:val="000000"/>
                <w:sz w:val="28"/>
                <w:szCs w:val="28"/>
              </w:rPr>
              <w:t>оворам от сдачи имущества в аренду;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3.2.3. Выполнять иные обязательства, установленные бюджетным законодательством Российской Федерации, Положением и настоящим Соглашением: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 Учреждение обязуется: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3.3.1. Предоставлять в течение 10 дней по запросу Учредителя информацию и документы, необходимые для осуществления контроля, предусмотренного пунктом 3.1.4 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3.3.2. Осуществлять в срок до «1» марта 2026 г. возврат средств Субсидии, под</w:t>
            </w:r>
            <w:r>
              <w:rPr>
                <w:color w:val="000000"/>
                <w:sz w:val="28"/>
                <w:szCs w:val="28"/>
              </w:rPr>
              <w:t>лежащих возврату в областной бюджет Ульяновской области на 1 января 2026 г., в размере, указанном в расчете, представленном Учредителем в соответствии с пунктом 3.1.7 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3.3.3.  Направлять  средства  Субсидии на выплаты, установленные п</w:t>
            </w:r>
            <w:r>
              <w:rPr>
                <w:color w:val="000000"/>
                <w:sz w:val="28"/>
                <w:szCs w:val="28"/>
              </w:rPr>
              <w:t>ланом финансово-хозяйственной деятельности Учреждения (далее - план финансово-хозяйственной  деятельности),  сформированным  и  утвержденным в порядке, определенном _приказом от 12.05.2017 № 7 "О порядке составления и утверждения Плана финансово-хозяйствен</w:t>
            </w:r>
            <w:r>
              <w:rPr>
                <w:color w:val="000000"/>
                <w:sz w:val="28"/>
                <w:szCs w:val="28"/>
              </w:rPr>
              <w:t>ной деятельности областных государственных бюджетных и автономных учреждений, находящихся в ведении Министерства образования и науки Ульяновской области"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(указать реквизиты нормативно-правового акта Учредителя);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3.3.4. представлять Учредителю в соответстви</w:t>
            </w:r>
            <w:r>
              <w:rPr>
                <w:color w:val="000000"/>
                <w:sz w:val="28"/>
                <w:szCs w:val="28"/>
              </w:rPr>
              <w:t>и с Положением: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3.3.4.1. Предварительный отчет об исполнении государственного задания по форме, предусмотренной для отчета об исполнении государственного задания (приложение № 2 к Положению) в срок до «30» января 2026г.;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3.3.4.2. Отчет о выполнении государ</w:t>
            </w:r>
            <w:r>
              <w:rPr>
                <w:color w:val="000000"/>
                <w:sz w:val="28"/>
                <w:szCs w:val="28"/>
              </w:rPr>
              <w:t>ственного задания, по форме, согласно приложению № 2 к Положению в срок до «28» февраля 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3.3.5. Не допускать роста кредиторской задолженности в течение текущего года (по итогам предшествующего) финансового года;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3.3.6. Обеспечить достижение целевого показ</w:t>
            </w:r>
            <w:r>
              <w:rPr>
                <w:color w:val="000000"/>
                <w:sz w:val="28"/>
                <w:szCs w:val="28"/>
              </w:rPr>
              <w:t>ателя по оптимизации расходов на коммунальные услуги в рамках повышения энергоэффективности;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3.3.7. Обеспечить достижение целевых показателей по росту размера оплаты труда отдельных категорий работников, определенных Указом Президента Российской Федерации </w:t>
            </w:r>
            <w:r>
              <w:rPr>
                <w:color w:val="000000"/>
                <w:sz w:val="28"/>
                <w:szCs w:val="28"/>
              </w:rPr>
              <w:t>от 07.05.2012 № 597 «О мероприятиях по реализации государственной социальной политики», Указом Президента Российской Федерации от 01.06.2012 № 761 «О Национальной стратегии действий в интересах детей на 2012 - 2017 годы» и Указом Президента Российской Феде</w:t>
            </w:r>
            <w:r>
              <w:rPr>
                <w:color w:val="000000"/>
                <w:sz w:val="28"/>
                <w:szCs w:val="28"/>
              </w:rPr>
              <w:t>рации от 28.12.2012 № 1688 «О некоторых мерах по реализации государственной политики в сфере защиты детей-сирот и детей, оставшихся без попечения родителей»;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3.3.8. Обеспечить достижение целевых показателей по привлечению дополнительных внебюджетных средст</w:t>
            </w:r>
            <w:r>
              <w:rPr>
                <w:color w:val="000000"/>
                <w:sz w:val="28"/>
                <w:szCs w:val="28"/>
              </w:rPr>
              <w:t>в (спонсорские поступления, доходы от приносящей доход деятельности и т.д.);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3.3.9. Обеспечить эффективное использование имущества учреждения, находящегося в оперативном управлении, в том числе не допускать роста дебиторской задолженности по договорам от с</w:t>
            </w:r>
            <w:r>
              <w:rPr>
                <w:color w:val="000000"/>
                <w:sz w:val="28"/>
                <w:szCs w:val="28"/>
              </w:rPr>
              <w:t>дачи имущества в аренду;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3.3.10. Выполнять иные обязательства, установленные бюджетным законодательством Российской Федерации, Положением и настоящим Соглашением: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3.4. Учреждение вправе: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3.4.1. Направлять не использованный в 2025 г. остаток Субсидии на о</w:t>
            </w:r>
            <w:r>
              <w:rPr>
                <w:color w:val="000000"/>
                <w:sz w:val="28"/>
                <w:szCs w:val="28"/>
              </w:rPr>
              <w:t>существление в 2026 г.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областной бюджет Ульяновской области в соответстви</w:t>
            </w:r>
            <w:r>
              <w:rPr>
                <w:color w:val="000000"/>
                <w:sz w:val="28"/>
                <w:szCs w:val="28"/>
              </w:rPr>
              <w:t>и с пунктом 3.3.2 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3.4.2. Направлять Учредителю предложения по исполнению настоящего </w:t>
            </w:r>
            <w:r>
              <w:rPr>
                <w:color w:val="000000"/>
                <w:sz w:val="28"/>
                <w:szCs w:val="28"/>
              </w:rPr>
              <w:lastRenderedPageBreak/>
              <w:t>Соглашения, в том числе по изменению размера Субсидии;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3.4.3. Обращаться к Учредителю в целях получения разъяснений в связи с исполнением настоящего </w:t>
            </w:r>
            <w:r>
              <w:rPr>
                <w:color w:val="000000"/>
                <w:sz w:val="28"/>
                <w:szCs w:val="28"/>
              </w:rPr>
              <w:t>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3.4.4. Осуществлять иные права, установленные бюджетным законодательством Российской Федерации, Положением и настоящим Соглашением: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C97C09"/>
          <w:p w:rsidR="00C97C09" w:rsidRDefault="00C97C09"/>
          <w:p w:rsidR="00C97C09" w:rsidRDefault="008645B2">
            <w:pPr>
              <w:ind w:firstLine="700"/>
              <w:jc w:val="center"/>
            </w:pPr>
            <w:r>
              <w:rPr>
                <w:color w:val="000000"/>
                <w:sz w:val="28"/>
                <w:szCs w:val="28"/>
              </w:rPr>
              <w:t>4. Ответственность Сторон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</w:r>
          </w:p>
          <w:p w:rsidR="00C97C09" w:rsidRDefault="00C97C09"/>
          <w:p w:rsidR="00C97C09" w:rsidRDefault="00C97C09"/>
          <w:p w:rsidR="00C97C09" w:rsidRDefault="008645B2">
            <w:pPr>
              <w:ind w:firstLine="700"/>
              <w:jc w:val="center"/>
            </w:pPr>
            <w:r>
              <w:rPr>
                <w:color w:val="000000"/>
                <w:sz w:val="28"/>
                <w:szCs w:val="28"/>
              </w:rPr>
              <w:t>5. Заключительные положения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Расторжение Соглашения осуществл</w:t>
            </w:r>
            <w:r>
              <w:rPr>
                <w:color w:val="000000"/>
                <w:sz w:val="28"/>
                <w:szCs w:val="28"/>
              </w:rPr>
              <w:t>яется по соглашению сторон и оформляется в виде соглашения о расторжении настоящего Соглашения;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5.2. 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</w:t>
            </w:r>
            <w:r>
              <w:rPr>
                <w:color w:val="000000"/>
                <w:sz w:val="28"/>
                <w:szCs w:val="28"/>
              </w:rPr>
              <w:t>показателям, характеризующим объем неоказанных муниципальных услуг (невыполненных работ), подлежат перечислению Учреждением в 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муниципального образования "Карсунский район" Ульяновской области в установленном законодательством порядке;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Споры, во</w:t>
            </w:r>
            <w:r>
              <w:rPr>
                <w:color w:val="000000"/>
                <w:sz w:val="28"/>
                <w:szCs w:val="28"/>
              </w:rPr>
              <w:t>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</w:t>
            </w:r>
            <w:r>
              <w:rPr>
                <w:color w:val="000000"/>
                <w:sz w:val="28"/>
                <w:szCs w:val="28"/>
              </w:rPr>
              <w:t>ном порядке.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 настоящего Соглашения, и действует до по</w:t>
            </w:r>
            <w:r>
              <w:rPr>
                <w:color w:val="000000"/>
                <w:sz w:val="28"/>
                <w:szCs w:val="28"/>
              </w:rPr>
              <w:t>лного исполнения Сторонами своих обязательств по настоящему Соглашению.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Изменение настоящего Соглашения, в том числе в соответствии с положениями пункта 3.2.2 настоящего Соглашения, осуществляется по соглашению Сторон и оформляется в виде дополнительн</w:t>
            </w:r>
            <w:r>
              <w:rPr>
                <w:color w:val="000000"/>
                <w:sz w:val="28"/>
                <w:szCs w:val="28"/>
              </w:rPr>
              <w:t>ого соглашения, являющегося неотъемлемой частью настоящего Соглашения.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Документы и иная информация, предусмотренные настоящим Соглашением, могут направляться Сторонами следующим (-ими) способом (-ами)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5.6.1. Путем использования государственной интегри</w:t>
            </w:r>
            <w:r>
              <w:rPr>
                <w:color w:val="000000"/>
                <w:sz w:val="28"/>
                <w:szCs w:val="28"/>
              </w:rPr>
              <w:t>рованной информационной Системы управления общественными финансами «Электронный бюджет»;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      </w:r>
          </w:p>
          <w:p w:rsidR="00C97C09" w:rsidRDefault="008645B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</w:t>
            </w:r>
            <w:r>
              <w:rPr>
                <w:color w:val="000000"/>
                <w:sz w:val="28"/>
                <w:szCs w:val="28"/>
              </w:rPr>
              <w:t>.3. Иным способом _систему электронного документооборота.</w:t>
            </w:r>
          </w:p>
          <w:p w:rsidR="00C97C09" w:rsidRDefault="008645B2">
            <w:pPr>
              <w:ind w:firstLine="700"/>
            </w:pPr>
            <w:r>
              <w:rPr>
                <w:color w:val="000000"/>
                <w:sz w:val="28"/>
                <w:szCs w:val="28"/>
              </w:rPr>
              <w:t>5.7. Настоящее Соглашение заключено Сторонами в форме:</w:t>
            </w:r>
          </w:p>
          <w:p w:rsidR="00C97C09" w:rsidRDefault="008645B2">
            <w:pPr>
              <w:ind w:firstLine="700"/>
            </w:pPr>
            <w:r>
              <w:rPr>
                <w:color w:val="000000"/>
                <w:sz w:val="28"/>
                <w:szCs w:val="28"/>
              </w:rPr>
              <w:t>5.7.1. Электронного документа с использованием информационной Системы «АЦК-Планирование» и подписано усиленными квалифицированными электронными</w:t>
            </w:r>
            <w:r>
              <w:rPr>
                <w:color w:val="000000"/>
                <w:sz w:val="28"/>
                <w:szCs w:val="28"/>
              </w:rPr>
              <w:t xml:space="preserve"> подписями лиц, имеющих право действовать от имени каждой из </w:t>
            </w:r>
            <w:r>
              <w:rPr>
                <w:color w:val="000000"/>
                <w:sz w:val="28"/>
                <w:szCs w:val="28"/>
              </w:rPr>
              <w:lastRenderedPageBreak/>
              <w:t>Сторон настоящего Соглашения.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C97C09"/>
          <w:p w:rsidR="00C97C09" w:rsidRDefault="00C97C09"/>
          <w:p w:rsidR="00C97C09" w:rsidRDefault="008645B2"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8645B2">
            <w:pPr>
              <w:jc w:val="center"/>
            </w:pPr>
            <w:r>
              <w:rPr>
                <w:color w:val="000000"/>
                <w:sz w:val="28"/>
                <w:szCs w:val="28"/>
              </w:rPr>
              <w:t>6. Платежные реквизиты Сторон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C97C09">
            <w:pPr>
              <w:rPr>
                <w:vanish/>
              </w:rPr>
            </w:pPr>
          </w:p>
          <w:tbl>
            <w:tblPr>
              <w:tblOverlap w:val="never"/>
              <w:tblW w:w="1006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34"/>
              <w:gridCol w:w="5035"/>
            </w:tblGrid>
            <w:tr w:rsidR="00C97C09">
              <w:tc>
                <w:tcPr>
                  <w:tcW w:w="5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Учредитель</w:t>
                  </w:r>
                </w:p>
              </w:tc>
              <w:tc>
                <w:tcPr>
                  <w:tcW w:w="5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Учреждение </w:t>
                  </w:r>
                </w:p>
              </w:tc>
            </w:tr>
            <w:tr w:rsidR="00C97C09">
              <w:tc>
                <w:tcPr>
                  <w:tcW w:w="5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Муниципальное казённое учреждение «Управление образования администрации муниципального образования"Карсунский район"Ульяновской области»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ОГРН 1027300724109 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ОКТМО 73614000 </w:t>
                  </w:r>
                </w:p>
              </w:tc>
              <w:tc>
                <w:tcPr>
                  <w:tcW w:w="5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Карсунская средняя школа име</w:t>
                  </w:r>
                  <w:r>
                    <w:rPr>
                      <w:color w:val="000000"/>
                      <w:sz w:val="28"/>
                      <w:szCs w:val="28"/>
                    </w:rPr>
                    <w:t>ни Д.Н.Гусева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ОГРН 1027300721832 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ОКТМО 73614151 </w:t>
                  </w:r>
                </w:p>
              </w:tc>
            </w:tr>
            <w:tr w:rsidR="00C97C09">
              <w:tc>
                <w:tcPr>
                  <w:tcW w:w="5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433210, Ульяновская область, р.п. Карсун, ул. Куйбышева, д.46</w:t>
                  </w:r>
                </w:p>
              </w:tc>
              <w:tc>
                <w:tcPr>
                  <w:tcW w:w="5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433210; ОБЛ УЛЬЯНОВСКАЯ; ; УЛ МИРА; 16</w:t>
                  </w:r>
                </w:p>
              </w:tc>
            </w:tr>
            <w:tr w:rsidR="00C97C09">
              <w:tc>
                <w:tcPr>
                  <w:tcW w:w="5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ИНН/КПП 7307001945 / 730701001</w:t>
                  </w:r>
                </w:p>
              </w:tc>
              <w:tc>
                <w:tcPr>
                  <w:tcW w:w="5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ИНН/КПП 7307003460 / 730701001</w:t>
                  </w:r>
                </w:p>
              </w:tc>
            </w:tr>
            <w:tr w:rsidR="00C97C09">
              <w:tc>
                <w:tcPr>
                  <w:tcW w:w="5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ОТДЕЛЕНИЕ УЛЬЯНОВСК БАНКА РОССИИ//УФК по Ульяновской области г Ульяновск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БИК 017308101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Казначейский счет 03231643736140006800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Единый казначейский счет 40102810645370000061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Лицевой счет, открытый в Управлении финансов Ульяновской области 03573105720</w:t>
                  </w:r>
                </w:p>
              </w:tc>
              <w:tc>
                <w:tcPr>
                  <w:tcW w:w="5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ОТДЕЛЕН</w:t>
                  </w:r>
                  <w:r>
                    <w:rPr>
                      <w:color w:val="000000"/>
                      <w:sz w:val="28"/>
                      <w:szCs w:val="28"/>
                    </w:rPr>
                    <w:t>ИЕ УЛЬЯНОВСК БАНКА РОССИИ//УФК по Ульяновской области г Ульяновск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БИК 017308101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Казначейский счет 03234643736140006800  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Единый казначейский счет 40102810645370000061</w:t>
                  </w:r>
                </w:p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Лицевой счет, открытый в Управлении финансов Ульяновской области 20573013002</w:t>
                  </w:r>
                </w:p>
              </w:tc>
            </w:tr>
            <w:tr w:rsidR="00C97C09">
              <w:tc>
                <w:tcPr>
                  <w:tcW w:w="5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ОКПО </w:t>
                  </w:r>
                  <w:r>
                    <w:rPr>
                      <w:color w:val="000000"/>
                      <w:sz w:val="28"/>
                      <w:szCs w:val="28"/>
                    </w:rPr>
                    <w:t>02118214</w:t>
                  </w:r>
                </w:p>
              </w:tc>
              <w:tc>
                <w:tcPr>
                  <w:tcW w:w="5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97C09" w:rsidRDefault="008645B2">
                  <w:r>
                    <w:rPr>
                      <w:color w:val="000000"/>
                      <w:sz w:val="28"/>
                      <w:szCs w:val="28"/>
                    </w:rPr>
                    <w:t>ОКПО 25410093</w:t>
                  </w:r>
                </w:p>
              </w:tc>
            </w:tr>
          </w:tbl>
          <w:p w:rsidR="00C97C09" w:rsidRDefault="008645B2">
            <w:r>
              <w:rPr>
                <w:color w:val="000000"/>
                <w:sz w:val="24"/>
                <w:szCs w:val="24"/>
              </w:rPr>
              <w:t> </w:t>
            </w:r>
          </w:p>
          <w:p w:rsidR="00C97C09" w:rsidRDefault="00C97C09"/>
          <w:p w:rsidR="00C97C09" w:rsidRDefault="00C97C09"/>
        </w:tc>
      </w:tr>
    </w:tbl>
    <w:p w:rsidR="00C97C09" w:rsidRDefault="00C97C09">
      <w:pPr>
        <w:rPr>
          <w:vanish/>
        </w:rPr>
      </w:pPr>
      <w:bookmarkStart w:id="0" w:name="__bookmark_1"/>
      <w:bookmarkEnd w:id="0"/>
    </w:p>
    <w:tbl>
      <w:tblPr>
        <w:tblOverlap w:val="never"/>
        <w:tblW w:w="10489" w:type="dxa"/>
        <w:jc w:val="center"/>
        <w:tblLayout w:type="fixed"/>
        <w:tblLook w:val="01E0"/>
      </w:tblPr>
      <w:tblGrid>
        <w:gridCol w:w="10489"/>
      </w:tblGrid>
      <w:tr w:rsidR="00C97C09">
        <w:trPr>
          <w:tblHeader/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259" w:type="dxa"/>
              <w:tblLayout w:type="fixed"/>
              <w:tblLook w:val="01E0"/>
            </w:tblPr>
            <w:tblGrid>
              <w:gridCol w:w="10259"/>
            </w:tblGrid>
            <w:tr w:rsidR="00C97C09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7. Подписи Сторон</w:t>
                  </w:r>
                </w:p>
                <w:p w:rsidR="00C97C09" w:rsidRDefault="008645B2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:rsidR="00C97C09" w:rsidRDefault="00C97C0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05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026"/>
                    <w:gridCol w:w="5027"/>
                  </w:tblGrid>
                  <w:tr w:rsidR="00C97C09">
                    <w:tc>
                      <w:tcPr>
                        <w:tcW w:w="50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C97C09" w:rsidRDefault="008645B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Учредитель</w:t>
                        </w:r>
                      </w:p>
                    </w:tc>
                    <w:tc>
                      <w:tcPr>
                        <w:tcW w:w="50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C97C09" w:rsidRDefault="008645B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Учреждение</w:t>
                        </w:r>
                      </w:p>
                    </w:tc>
                  </w:tr>
                  <w:tr w:rsidR="00C97C09">
                    <w:tc>
                      <w:tcPr>
                        <w:tcW w:w="50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C97C09" w:rsidRDefault="008645B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Начальник 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 Ермохина Ю.Н.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    (подпись)                                           (ФИО)</w:t>
                        </w:r>
                      </w:p>
                    </w:tc>
                    <w:tc>
                      <w:tcPr>
                        <w:tcW w:w="50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C97C09" w:rsidRDefault="008645B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Исполняющий обязанности директора МБОУ Карсунская СШ им. Д.Н.Гусева 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 Шамшетдинов Шамиль Рестемович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    (подпись)                                                (ФИО)</w:t>
                        </w:r>
                      </w:p>
                    </w:tc>
                  </w:tr>
                </w:tbl>
                <w:p w:rsidR="00C97C09" w:rsidRDefault="008645B2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97C09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C97C09">
                  <w:pPr>
                    <w:spacing w:line="1" w:lineRule="auto"/>
                  </w:pPr>
                </w:p>
              </w:tc>
            </w:tr>
            <w:tr w:rsidR="00C97C09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/>
                <w:p w:rsidR="00C97C09" w:rsidRDefault="00C97C09"/>
                <w:tbl>
                  <w:tblPr>
                    <w:tblOverlap w:val="never"/>
                    <w:tblW w:w="9844" w:type="dxa"/>
                    <w:tblLayout w:type="fixed"/>
                    <w:tblLook w:val="01E0"/>
                  </w:tblPr>
                  <w:tblGrid>
                    <w:gridCol w:w="3281"/>
                    <w:gridCol w:w="3281"/>
                    <w:gridCol w:w="3282"/>
                  </w:tblGrid>
                  <w:tr w:rsidR="00C97C09">
                    <w:tc>
                      <w:tcPr>
                        <w:tcW w:w="32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:rsidR="00C97C09" w:rsidRDefault="008645B2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2B90BEFE52BCA0DA6A3509FD78A48865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Владелец: Ермохина Юлия Николаевна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Действителен c 22.01.2024 12:07 до 16.04.2025 12:07</w:t>
                        </w:r>
                      </w:p>
                    </w:tc>
                    <w:tc>
                      <w:tcPr>
                        <w:tcW w:w="328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97C09" w:rsidRDefault="00C97C09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:rsidR="00C97C09" w:rsidRDefault="008645B2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00AF10FB05A4ACE92C3A01AACD3C6D2773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Владелец: Шамшетдинов Шамиль Рестемович</w:t>
                        </w:r>
                      </w:p>
                      <w:p w:rsidR="00C97C09" w:rsidRDefault="008645B2">
                        <w:r>
                          <w:rPr>
                            <w:color w:val="000000"/>
                          </w:rPr>
                          <w:t>Действителен c 01.10.2024 08:42 до 25.12.2025 08:42</w:t>
                        </w:r>
                      </w:p>
                    </w:tc>
                  </w:tr>
                </w:tbl>
                <w:p w:rsidR="00C97C09" w:rsidRDefault="00C97C09">
                  <w:pPr>
                    <w:spacing w:line="1" w:lineRule="auto"/>
                  </w:pPr>
                </w:p>
              </w:tc>
            </w:tr>
          </w:tbl>
          <w:p w:rsidR="00C97C09" w:rsidRDefault="00C97C09">
            <w:pPr>
              <w:spacing w:line="1" w:lineRule="auto"/>
            </w:pPr>
          </w:p>
        </w:tc>
      </w:tr>
      <w:tr w:rsidR="00C97C09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  <w:jc w:val="center"/>
            </w:pPr>
          </w:p>
        </w:tc>
      </w:tr>
      <w:tr w:rsidR="00C97C09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  <w:jc w:val="center"/>
            </w:pPr>
          </w:p>
        </w:tc>
      </w:tr>
    </w:tbl>
    <w:p w:rsidR="00C97C09" w:rsidRDefault="00C97C09">
      <w:pPr>
        <w:sectPr w:rsidR="00C97C09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9922" w:type="dxa"/>
        <w:tblLayout w:type="fixed"/>
        <w:tblLook w:val="01E0"/>
      </w:tblPr>
      <w:tblGrid>
        <w:gridCol w:w="6521"/>
        <w:gridCol w:w="3401"/>
      </w:tblGrid>
      <w:tr w:rsidR="00C97C09">
        <w:tc>
          <w:tcPr>
            <w:tcW w:w="65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от 3 января 2025 г.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№ 13</w:t>
            </w:r>
          </w:p>
        </w:tc>
      </w:tr>
      <w:tr w:rsidR="00C97C09">
        <w:tc>
          <w:tcPr>
            <w:tcW w:w="65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  <w:p w:rsidR="00C97C09" w:rsidRDefault="00C97C09"/>
        </w:tc>
      </w:tr>
    </w:tbl>
    <w:p w:rsidR="00C97C09" w:rsidRDefault="00C97C09">
      <w:pPr>
        <w:rPr>
          <w:vanish/>
        </w:rPr>
      </w:pPr>
    </w:p>
    <w:tbl>
      <w:tblPr>
        <w:tblOverlap w:val="never"/>
        <w:tblW w:w="9922" w:type="dxa"/>
        <w:tblLayout w:type="fixed"/>
        <w:tblLook w:val="01E0"/>
      </w:tblPr>
      <w:tblGrid>
        <w:gridCol w:w="2834"/>
        <w:gridCol w:w="7088"/>
      </w:tblGrid>
      <w:tr w:rsidR="00C97C09">
        <w:trPr>
          <w:trHeight w:val="230"/>
        </w:trPr>
        <w:tc>
          <w:tcPr>
            <w:tcW w:w="992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pPr>
              <w:jc w:val="center"/>
            </w:pPr>
            <w:r>
              <w:rPr>
                <w:color w:val="000000"/>
                <w:sz w:val="24"/>
                <w:szCs w:val="24"/>
              </w:rPr>
              <w:t>График перечисления Субсидии</w:t>
            </w:r>
          </w:p>
        </w:tc>
      </w:tr>
      <w:tr w:rsidR="00C97C09">
        <w:trPr>
          <w:trHeight w:val="299"/>
        </w:trPr>
        <w:tc>
          <w:tcPr>
            <w:tcW w:w="992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6"/>
                <w:szCs w:val="26"/>
              </w:rPr>
            </w:pPr>
          </w:p>
        </w:tc>
      </w:tr>
      <w:tr w:rsidR="00C97C09"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Учредителя</w:t>
            </w:r>
          </w:p>
        </w:tc>
        <w:tc>
          <w:tcPr>
            <w:tcW w:w="708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r>
              <w:rPr>
                <w:color w:val="000000"/>
              </w:rPr>
              <w:t>Муниципальное казённое учреждение «Управление образования администрации муниципального образования"Карсунский район"Ульяновской области»</w:t>
            </w:r>
          </w:p>
        </w:tc>
      </w:tr>
      <w:tr w:rsidR="00C97C09"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Учреждения </w:t>
            </w:r>
          </w:p>
        </w:tc>
        <w:tc>
          <w:tcPr>
            <w:tcW w:w="708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r>
              <w:rPr>
                <w:color w:val="000000"/>
              </w:rPr>
              <w:t>Муниципальное бюджетное общеобразовательное учреждение Карсунская средняя школа имени Д.Н.Гус</w:t>
            </w:r>
            <w:r>
              <w:rPr>
                <w:color w:val="000000"/>
              </w:rPr>
              <w:t>ева</w:t>
            </w:r>
          </w:p>
        </w:tc>
      </w:tr>
      <w:tr w:rsidR="00C97C09"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</w:tc>
      </w:tr>
    </w:tbl>
    <w:p w:rsidR="00C97C09" w:rsidRDefault="00C97C09">
      <w:pPr>
        <w:rPr>
          <w:vanish/>
        </w:rPr>
      </w:pPr>
      <w:bookmarkStart w:id="1" w:name="__bookmark_5"/>
      <w:bookmarkEnd w:id="1"/>
    </w:p>
    <w:tbl>
      <w:tblPr>
        <w:tblOverlap w:val="never"/>
        <w:tblW w:w="9922" w:type="dxa"/>
        <w:tblLayout w:type="fixed"/>
        <w:tblLook w:val="01E0"/>
      </w:tblPr>
      <w:tblGrid>
        <w:gridCol w:w="9922"/>
      </w:tblGrid>
      <w:tr w:rsidR="00C97C09">
        <w:tc>
          <w:tcPr>
            <w:tcW w:w="9922" w:type="dxa"/>
            <w:tcMar>
              <w:top w:w="0" w:type="dxa"/>
              <w:left w:w="20" w:type="dxa"/>
              <w:bottom w:w="0" w:type="dxa"/>
              <w:right w:w="0" w:type="dxa"/>
            </w:tcMar>
          </w:tcPr>
          <w:tbl>
            <w:tblPr>
              <w:tblOverlap w:val="never"/>
              <w:tblW w:w="9902" w:type="dxa"/>
              <w:jc w:val="center"/>
              <w:tblLayout w:type="fixed"/>
              <w:tblLook w:val="01E0"/>
            </w:tblPr>
            <w:tblGrid>
              <w:gridCol w:w="680"/>
              <w:gridCol w:w="793"/>
              <w:gridCol w:w="907"/>
              <w:gridCol w:w="1133"/>
              <w:gridCol w:w="907"/>
              <w:gridCol w:w="850"/>
              <w:gridCol w:w="2267"/>
              <w:gridCol w:w="1685"/>
              <w:gridCol w:w="680"/>
            </w:tblGrid>
            <w:tr w:rsidR="00C97C09">
              <w:trPr>
                <w:trHeight w:val="230"/>
                <w:jc w:val="center"/>
              </w:trPr>
              <w:tc>
                <w:tcPr>
                  <w:tcW w:w="6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  <w:r>
                    <w:rPr>
                      <w:color w:val="000000"/>
                    </w:rPr>
                    <w:br/>
                    <w:t>п/п</w:t>
                  </w:r>
                </w:p>
              </w:tc>
              <w:tc>
                <w:tcPr>
                  <w:tcW w:w="4590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Код по бюджетной классификации Российской Федерации (по расходам бюджета муниципального образования «Карсунский район» на предоставление Субсидии)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Сроки перечисления Субсидии</w:t>
                  </w:r>
                </w:p>
              </w:tc>
              <w:tc>
                <w:tcPr>
                  <w:tcW w:w="236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Сумма, подлежащая перечислению, рублей</w:t>
                  </w:r>
                </w:p>
              </w:tc>
            </w:tr>
            <w:tr w:rsidR="00C97C09">
              <w:trPr>
                <w:trHeight w:hRule="exact" w:val="1133"/>
                <w:jc w:val="center"/>
              </w:trPr>
              <w:tc>
                <w:tcPr>
                  <w:tcW w:w="68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C97C09">
                  <w:pPr>
                    <w:spacing w:line="1" w:lineRule="auto"/>
                  </w:pP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Доп. ЭК</w:t>
                  </w:r>
                </w:p>
              </w:tc>
              <w:tc>
                <w:tcPr>
                  <w:tcW w:w="226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C97C09">
                  <w:pPr>
                    <w:spacing w:line="1" w:lineRule="auto"/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т.ч.</w:t>
                  </w:r>
                </w:p>
              </w:tc>
            </w:tr>
          </w:tbl>
          <w:p w:rsidR="00C97C09" w:rsidRDefault="00C97C09">
            <w:pPr>
              <w:spacing w:line="1" w:lineRule="auto"/>
            </w:pPr>
          </w:p>
        </w:tc>
      </w:tr>
    </w:tbl>
    <w:p w:rsidR="00C97C09" w:rsidRDefault="00C97C09">
      <w:pPr>
        <w:rPr>
          <w:vanish/>
        </w:rPr>
      </w:pPr>
      <w:bookmarkStart w:id="2" w:name="__bookmark_6"/>
      <w:bookmarkEnd w:id="2"/>
    </w:p>
    <w:tbl>
      <w:tblPr>
        <w:tblOverlap w:val="never"/>
        <w:tblW w:w="9922" w:type="dxa"/>
        <w:tblLayout w:type="fixed"/>
        <w:tblLook w:val="01E0"/>
      </w:tblPr>
      <w:tblGrid>
        <w:gridCol w:w="9922"/>
      </w:tblGrid>
      <w:tr w:rsidR="00C97C09">
        <w:trPr>
          <w:tblHeader/>
        </w:trPr>
        <w:tc>
          <w:tcPr>
            <w:tcW w:w="9922" w:type="dxa"/>
            <w:tcMar>
              <w:top w:w="0" w:type="dxa"/>
              <w:left w:w="20" w:type="dxa"/>
              <w:bottom w:w="0" w:type="dxa"/>
              <w:right w:w="0" w:type="dxa"/>
            </w:tcMar>
          </w:tcPr>
          <w:tbl>
            <w:tblPr>
              <w:tblOverlap w:val="never"/>
              <w:tblW w:w="9902" w:type="dxa"/>
              <w:jc w:val="center"/>
              <w:tblLayout w:type="fixed"/>
              <w:tblLook w:val="01E0"/>
            </w:tblPr>
            <w:tblGrid>
              <w:gridCol w:w="680"/>
              <w:gridCol w:w="793"/>
              <w:gridCol w:w="907"/>
              <w:gridCol w:w="1133"/>
              <w:gridCol w:w="907"/>
              <w:gridCol w:w="850"/>
              <w:gridCol w:w="2267"/>
              <w:gridCol w:w="1685"/>
              <w:gridCol w:w="680"/>
            </w:tblGrid>
            <w:tr w:rsidR="00C97C09">
              <w:trPr>
                <w:jc w:val="center"/>
              </w:trPr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C09" w:rsidRDefault="008645B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</w:tbl>
          <w:p w:rsidR="00C97C09" w:rsidRDefault="00C97C09">
            <w:pPr>
              <w:spacing w:line="1" w:lineRule="auto"/>
            </w:pPr>
          </w:p>
        </w:tc>
      </w:tr>
      <w:tr w:rsidR="00C97C09">
        <w:trPr>
          <w:hidden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vanish/>
              </w:rPr>
            </w:pPr>
          </w:p>
          <w:tbl>
            <w:tblPr>
              <w:tblOverlap w:val="never"/>
              <w:tblW w:w="9916" w:type="dxa"/>
              <w:tblBorders>
                <w:right w:val="single" w:sz="6" w:space="0" w:color="000000"/>
              </w:tblBorders>
              <w:tblLayout w:type="fixed"/>
              <w:tblLook w:val="01E0"/>
            </w:tblPr>
            <w:tblGrid>
              <w:gridCol w:w="680"/>
              <w:gridCol w:w="793"/>
              <w:gridCol w:w="906"/>
              <w:gridCol w:w="1132"/>
              <w:gridCol w:w="906"/>
              <w:gridCol w:w="850"/>
              <w:gridCol w:w="2265"/>
              <w:gridCol w:w="1704"/>
              <w:gridCol w:w="680"/>
            </w:tblGrid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226 251,66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74 537,25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756 555,82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124 766,77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24103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226 251,74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74 537,75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2740124210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14 185 336,38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325 450,18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2740140620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3 905 401,50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</w:t>
                  </w:r>
                  <w:r>
                    <w:rPr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143 254,95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50 995,00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2740153030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2 330 999,29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3 206 497,49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122 482,45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3 206 497,55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722 543,56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122 483,05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2740171140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48 618 282,44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4 166,69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50 000,06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5 703,00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2740171170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68 436,00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</w:t>
                  </w:r>
                  <w:r>
                    <w:rPr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24109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708,37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lastRenderedPageBreak/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2740171200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8 500,00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53 606,87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53 606,93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2740172110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643 282,50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329 782,84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329 783,02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27401L3040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3 957 394,26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</w:t>
                  </w:r>
                  <w:r>
                    <w:rPr>
                      <w:color w:val="000000"/>
                    </w:rPr>
                    <w:lastRenderedPageBreak/>
                    <w:t>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6 008,38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24101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21 908,37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24102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6 008,42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271EB51790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335 000,60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января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28 февраля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марта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апреля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мая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июня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июля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августа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сентября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октября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30 ноября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1 791,72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24106</w:t>
                  </w:r>
                </w:p>
              </w:tc>
              <w:tc>
                <w:tcPr>
                  <w:tcW w:w="22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- до 31 декабря 2025 г.</w:t>
                  </w:r>
                </w:p>
              </w:tc>
              <w:tc>
                <w:tcPr>
                  <w:tcW w:w="1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1 791,73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r>
                    <w:rPr>
                      <w:color w:val="000000"/>
                    </w:rPr>
                    <w:t>Итого по КБК</w:t>
                  </w:r>
                </w:p>
              </w:tc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573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2740440640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21 500,65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C09">
              <w:tc>
                <w:tcPr>
                  <w:tcW w:w="7537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ВСЕГО: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8645B2">
                  <w:pPr>
                    <w:jc w:val="center"/>
                  </w:pPr>
                  <w:r>
                    <w:rPr>
                      <w:color w:val="000000"/>
                    </w:rPr>
                    <w:t>74 124 133,68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7C09" w:rsidRDefault="00C97C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97C09" w:rsidRDefault="00C97C09">
            <w:pPr>
              <w:spacing w:line="1" w:lineRule="auto"/>
            </w:pPr>
          </w:p>
        </w:tc>
      </w:tr>
    </w:tbl>
    <w:p w:rsidR="00C97C09" w:rsidRDefault="00C97C09">
      <w:pPr>
        <w:sectPr w:rsidR="00C97C09">
          <w:headerReference w:type="default" r:id="rId8"/>
          <w:footerReference w:type="default" r:id="rId9"/>
          <w:pgSz w:w="11905" w:h="16837"/>
          <w:pgMar w:top="1133" w:right="850" w:bottom="1133" w:left="1133" w:header="720" w:footer="0" w:gutter="0"/>
          <w:cols w:space="720"/>
        </w:sectPr>
      </w:pPr>
    </w:p>
    <w:tbl>
      <w:tblPr>
        <w:tblOverlap w:val="never"/>
        <w:tblW w:w="15138" w:type="dxa"/>
        <w:tblLayout w:type="fixed"/>
        <w:tblLook w:val="01E0"/>
      </w:tblPr>
      <w:tblGrid>
        <w:gridCol w:w="11737"/>
        <w:gridCol w:w="3401"/>
      </w:tblGrid>
      <w:tr w:rsidR="00C97C09">
        <w:tc>
          <w:tcPr>
            <w:tcW w:w="11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r>
              <w:rPr>
                <w:color w:val="000000"/>
                <w:sz w:val="24"/>
                <w:szCs w:val="24"/>
              </w:rPr>
              <w:t>Приложение № 2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от 3 января 2025 г.</w:t>
            </w:r>
          </w:p>
          <w:p w:rsidR="00C97C09" w:rsidRDefault="008645B2">
            <w:r>
              <w:rPr>
                <w:color w:val="000000"/>
                <w:sz w:val="24"/>
                <w:szCs w:val="24"/>
              </w:rPr>
              <w:t>№ 13</w:t>
            </w:r>
          </w:p>
        </w:tc>
      </w:tr>
      <w:tr w:rsidR="00C97C09">
        <w:tc>
          <w:tcPr>
            <w:tcW w:w="11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  <w:p w:rsidR="00C97C09" w:rsidRDefault="00C97C09"/>
        </w:tc>
      </w:tr>
    </w:tbl>
    <w:p w:rsidR="00C97C09" w:rsidRDefault="00C97C09">
      <w:pPr>
        <w:rPr>
          <w:vanish/>
        </w:rPr>
      </w:pPr>
    </w:p>
    <w:tbl>
      <w:tblPr>
        <w:tblOverlap w:val="never"/>
        <w:tblW w:w="15138" w:type="dxa"/>
        <w:tblLayout w:type="fixed"/>
        <w:tblLook w:val="01E0"/>
      </w:tblPr>
      <w:tblGrid>
        <w:gridCol w:w="3401"/>
        <w:gridCol w:w="11737"/>
      </w:tblGrid>
      <w:tr w:rsidR="00C97C09">
        <w:trPr>
          <w:trHeight w:val="230"/>
        </w:trPr>
        <w:tc>
          <w:tcPr>
            <w:tcW w:w="1513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pPr>
              <w:jc w:val="center"/>
            </w:pPr>
            <w:r>
              <w:rPr>
                <w:color w:val="000000"/>
                <w:sz w:val="24"/>
                <w:szCs w:val="24"/>
              </w:rPr>
              <w:t>РАСЧЕТ</w:t>
            </w:r>
          </w:p>
          <w:p w:rsidR="00C97C09" w:rsidRDefault="008645B2">
            <w:pPr>
              <w:jc w:val="center"/>
            </w:pPr>
            <w:r>
              <w:rPr>
                <w:color w:val="000000"/>
                <w:sz w:val="24"/>
                <w:szCs w:val="24"/>
              </w:rPr>
              <w:t>средств Субсидии, подлежащих возврату в бюджет муниципального образования «Карсунский район»</w:t>
            </w:r>
          </w:p>
          <w:p w:rsidR="00C97C09" w:rsidRDefault="008645B2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 1 января 2026 г.</w:t>
            </w:r>
          </w:p>
        </w:tc>
      </w:tr>
      <w:tr w:rsidR="00C97C09">
        <w:trPr>
          <w:trHeight w:val="299"/>
        </w:trPr>
        <w:tc>
          <w:tcPr>
            <w:tcW w:w="1513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6"/>
                <w:szCs w:val="26"/>
              </w:rPr>
            </w:pPr>
          </w:p>
        </w:tc>
      </w:tr>
      <w:tr w:rsidR="00C97C0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117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r>
              <w:rPr>
                <w:color w:val="000000"/>
                <w:sz w:val="24"/>
                <w:szCs w:val="24"/>
              </w:rPr>
              <w:t>Муниципальное казённое учреждение «Управление образования администрации муниципального образования"Карсунский район"Ульяновской области»</w:t>
            </w:r>
          </w:p>
        </w:tc>
      </w:tr>
      <w:tr w:rsidR="00C97C0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7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8645B2"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Карсунская средняя школа имени Д.Н.Гусе</w:t>
            </w:r>
            <w:r>
              <w:rPr>
                <w:color w:val="000000"/>
                <w:sz w:val="24"/>
                <w:szCs w:val="24"/>
              </w:rPr>
              <w:t>ва</w:t>
            </w:r>
          </w:p>
        </w:tc>
      </w:tr>
      <w:tr w:rsidR="00C97C09">
        <w:trPr>
          <w:trHeight w:val="230"/>
        </w:trPr>
        <w:tc>
          <w:tcPr>
            <w:tcW w:w="1513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</w:rPr>
            </w:pPr>
          </w:p>
        </w:tc>
      </w:tr>
    </w:tbl>
    <w:p w:rsidR="00C97C09" w:rsidRDefault="00C97C09">
      <w:pPr>
        <w:rPr>
          <w:vanish/>
        </w:rPr>
      </w:pPr>
    </w:p>
    <w:tbl>
      <w:tblPr>
        <w:tblOverlap w:val="never"/>
        <w:tblW w:w="14957" w:type="dxa"/>
        <w:tblLayout w:type="fixed"/>
        <w:tblLook w:val="01E0"/>
      </w:tblPr>
      <w:tblGrid>
        <w:gridCol w:w="340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963"/>
        <w:gridCol w:w="566"/>
        <w:gridCol w:w="1360"/>
        <w:gridCol w:w="1417"/>
        <w:gridCol w:w="1247"/>
      </w:tblGrid>
      <w:tr w:rsidR="00C97C09">
        <w:trPr>
          <w:trHeight w:val="230"/>
        </w:trPr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93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</w:pPr>
            <w:r>
              <w:rPr>
                <w:color w:val="000000"/>
              </w:rPr>
              <w:t>Муниципальная услуга или работа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</w:pPr>
            <w:r>
              <w:rPr>
                <w:color w:val="000000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</w:pPr>
            <w:r>
              <w:rPr>
                <w:color w:val="000000"/>
              </w:rPr>
              <w:t>Нормативные затраты на оказание единицы показателя, характеризующего объем муниципальной услуги или работы, рублей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</w:pPr>
            <w:r>
              <w:rPr>
                <w:color w:val="000000"/>
              </w:rPr>
              <w:t>Объем остатка Субсидии, подлежащий возврату в бюджет муниципального образования «Карсунский район», рублей</w:t>
            </w:r>
          </w:p>
        </w:tc>
      </w:tr>
      <w:tr w:rsidR="00C97C09">
        <w:trPr>
          <w:trHeight w:val="1"/>
        </w:trPr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</w:pPr>
            <w:r>
              <w:rPr>
                <w:color w:val="000000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</w:pPr>
            <w:r>
              <w:rPr>
                <w:color w:val="000000"/>
              </w:rPr>
              <w:t>Показатель, характеризующий ус</w:t>
            </w:r>
            <w:r>
              <w:rPr>
                <w:color w:val="000000"/>
              </w:rPr>
              <w:t>ловия (формы) оказания муниципальной услуги (выполнения работы)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</w:tr>
      <w:tr w:rsidR="00C97C09"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spacing w:line="1" w:lineRule="auto"/>
            </w:pPr>
          </w:p>
        </w:tc>
      </w:tr>
      <w:tr w:rsidR="00C97C09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97C09">
        <w:trPr>
          <w:trHeight w:hRule="exact" w:val="396"/>
        </w:trPr>
        <w:tc>
          <w:tcPr>
            <w:tcW w:w="14957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r>
              <w:rPr>
                <w:color w:val="000000"/>
              </w:rPr>
              <w:t>Муниципальные услуги</w:t>
            </w:r>
          </w:p>
        </w:tc>
      </w:tr>
      <w:tr w:rsidR="00C97C09">
        <w:trPr>
          <w:trHeight w:hRule="exact" w:val="396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right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right"/>
              <w:rPr>
                <w:color w:val="000000"/>
              </w:rPr>
            </w:pPr>
          </w:p>
        </w:tc>
      </w:tr>
      <w:tr w:rsidR="00C97C09">
        <w:trPr>
          <w:trHeight w:hRule="exact" w:val="396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right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right"/>
              <w:rPr>
                <w:color w:val="000000"/>
              </w:rPr>
            </w:pPr>
          </w:p>
        </w:tc>
      </w:tr>
      <w:tr w:rsidR="00C97C09">
        <w:trPr>
          <w:trHeight w:hRule="exact" w:val="396"/>
        </w:trPr>
        <w:tc>
          <w:tcPr>
            <w:tcW w:w="14957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rPr>
                <w:color w:val="000000"/>
              </w:rPr>
            </w:pPr>
            <w:r>
              <w:rPr>
                <w:color w:val="000000"/>
              </w:rPr>
              <w:t>Работы</w:t>
            </w:r>
          </w:p>
        </w:tc>
      </w:tr>
      <w:tr w:rsidR="00C97C09">
        <w:trPr>
          <w:trHeight w:hRule="exact" w:val="396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</w:tr>
      <w:tr w:rsidR="00C97C09">
        <w:trPr>
          <w:trHeight w:hRule="exact" w:val="396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center"/>
              <w:rPr>
                <w:color w:val="000000"/>
              </w:rPr>
            </w:pPr>
          </w:p>
        </w:tc>
      </w:tr>
      <w:tr w:rsidR="00C97C09">
        <w:trPr>
          <w:trHeight w:hRule="exact" w:val="396"/>
        </w:trPr>
        <w:tc>
          <w:tcPr>
            <w:tcW w:w="1371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8645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C09" w:rsidRDefault="00C97C09">
            <w:pPr>
              <w:jc w:val="right"/>
              <w:rPr>
                <w:color w:val="000000"/>
              </w:rPr>
            </w:pPr>
          </w:p>
        </w:tc>
      </w:tr>
    </w:tbl>
    <w:p w:rsidR="00C97C09" w:rsidRDefault="00C97C09">
      <w:pPr>
        <w:rPr>
          <w:vanish/>
        </w:rPr>
      </w:pPr>
    </w:p>
    <w:tbl>
      <w:tblPr>
        <w:tblOverlap w:val="never"/>
        <w:tblW w:w="15138" w:type="dxa"/>
        <w:tblLayout w:type="fixed"/>
        <w:tblLook w:val="01E0"/>
      </w:tblPr>
      <w:tblGrid>
        <w:gridCol w:w="3676"/>
        <w:gridCol w:w="144"/>
        <w:gridCol w:w="3676"/>
        <w:gridCol w:w="144"/>
        <w:gridCol w:w="3676"/>
        <w:gridCol w:w="144"/>
        <w:gridCol w:w="3678"/>
      </w:tblGrid>
      <w:tr w:rsidR="00C97C09"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4"/>
                <w:szCs w:val="24"/>
              </w:rPr>
            </w:pPr>
          </w:p>
        </w:tc>
      </w:tr>
      <w:tr w:rsidR="00C97C09"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(уполномоченное лицо)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C97C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C97C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7C09" w:rsidRDefault="00C97C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C09"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C97C09">
        <w:tc>
          <w:tcPr>
            <w:tcW w:w="749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86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«__» ____________ 20__ г.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spacing w:line="1" w:lineRule="auto"/>
            </w:pPr>
          </w:p>
        </w:tc>
        <w:tc>
          <w:tcPr>
            <w:tcW w:w="3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C09" w:rsidRDefault="00C97C0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97C09" w:rsidRDefault="00C97C09">
      <w:pPr>
        <w:jc w:val="right"/>
        <w:rPr>
          <w:color w:val="000000"/>
        </w:rPr>
      </w:pPr>
    </w:p>
    <w:sectPr w:rsidR="00C97C09" w:rsidSect="00C97C09">
      <w:headerReference w:type="default" r:id="rId10"/>
      <w:footerReference w:type="default" r:id="rId11"/>
      <w:pgSz w:w="16837" w:h="11905" w:orient="landscape"/>
      <w:pgMar w:top="850" w:right="566" w:bottom="850" w:left="1133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B2" w:rsidRDefault="008645B2" w:rsidP="00C97C09">
      <w:r>
        <w:separator/>
      </w:r>
    </w:p>
  </w:endnote>
  <w:endnote w:type="continuationSeparator" w:id="1">
    <w:p w:rsidR="008645B2" w:rsidRDefault="008645B2" w:rsidP="00C9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C97C09">
      <w:tc>
        <w:tcPr>
          <w:tcW w:w="10704" w:type="dxa"/>
        </w:tcPr>
        <w:p w:rsidR="00C97C09" w:rsidRDefault="00C97C09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7" w:type="dxa"/>
      <w:tblLayout w:type="fixed"/>
      <w:tblLook w:val="01E0"/>
    </w:tblPr>
    <w:tblGrid>
      <w:gridCol w:w="10137"/>
    </w:tblGrid>
    <w:tr w:rsidR="00C97C09">
      <w:tc>
        <w:tcPr>
          <w:tcW w:w="10137" w:type="dxa"/>
        </w:tcPr>
        <w:p w:rsidR="00C97C09" w:rsidRDefault="00C97C09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53" w:type="dxa"/>
      <w:tblLayout w:type="fixed"/>
      <w:tblLook w:val="01E0"/>
    </w:tblPr>
    <w:tblGrid>
      <w:gridCol w:w="15353"/>
    </w:tblGrid>
    <w:tr w:rsidR="00C97C09">
      <w:tc>
        <w:tcPr>
          <w:tcW w:w="15353" w:type="dxa"/>
        </w:tcPr>
        <w:p w:rsidR="00C97C09" w:rsidRDefault="00C97C09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B2" w:rsidRDefault="008645B2" w:rsidP="00C97C09">
      <w:r>
        <w:separator/>
      </w:r>
    </w:p>
  </w:footnote>
  <w:footnote w:type="continuationSeparator" w:id="1">
    <w:p w:rsidR="008645B2" w:rsidRDefault="008645B2" w:rsidP="00C97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C97C09">
      <w:trPr>
        <w:trHeight w:val="283"/>
      </w:trPr>
      <w:tc>
        <w:tcPr>
          <w:tcW w:w="10704" w:type="dxa"/>
        </w:tcPr>
        <w:p w:rsidR="00C97C09" w:rsidRDefault="00C97C09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8645B2">
            <w:rPr>
              <w:color w:val="000000"/>
              <w:sz w:val="24"/>
              <w:szCs w:val="24"/>
            </w:rPr>
            <w:instrText>PAGE</w:instrText>
          </w:r>
          <w:r w:rsidR="00B718BB">
            <w:fldChar w:fldCharType="separate"/>
          </w:r>
          <w:r w:rsidR="00B718BB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C97C09" w:rsidRDefault="00C97C09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7" w:type="dxa"/>
      <w:tblLayout w:type="fixed"/>
      <w:tblLook w:val="01E0"/>
    </w:tblPr>
    <w:tblGrid>
      <w:gridCol w:w="10137"/>
    </w:tblGrid>
    <w:tr w:rsidR="00C97C09">
      <w:trPr>
        <w:trHeight w:val="720"/>
      </w:trPr>
      <w:tc>
        <w:tcPr>
          <w:tcW w:w="10137" w:type="dxa"/>
        </w:tcPr>
        <w:p w:rsidR="00C97C09" w:rsidRDefault="00C97C09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8645B2">
            <w:rPr>
              <w:color w:val="000000"/>
              <w:sz w:val="24"/>
              <w:szCs w:val="24"/>
            </w:rPr>
            <w:instrText>PAGE</w:instrText>
          </w:r>
          <w:r w:rsidR="00B718BB">
            <w:fldChar w:fldCharType="separate"/>
          </w:r>
          <w:r w:rsidR="00B718BB">
            <w:rPr>
              <w:noProof/>
              <w:color w:val="000000"/>
              <w:sz w:val="24"/>
              <w:szCs w:val="24"/>
            </w:rPr>
            <w:t>17</w:t>
          </w:r>
          <w:r>
            <w:fldChar w:fldCharType="end"/>
          </w:r>
        </w:p>
        <w:p w:rsidR="00C97C09" w:rsidRDefault="00C97C09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53" w:type="dxa"/>
      <w:tblLayout w:type="fixed"/>
      <w:tblLook w:val="01E0"/>
    </w:tblPr>
    <w:tblGrid>
      <w:gridCol w:w="15353"/>
    </w:tblGrid>
    <w:tr w:rsidR="00C97C09">
      <w:trPr>
        <w:trHeight w:val="720"/>
      </w:trPr>
      <w:tc>
        <w:tcPr>
          <w:tcW w:w="15353" w:type="dxa"/>
        </w:tcPr>
        <w:p w:rsidR="00C97C09" w:rsidRDefault="00C97C09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8645B2">
            <w:rPr>
              <w:color w:val="000000"/>
              <w:sz w:val="24"/>
              <w:szCs w:val="24"/>
            </w:rPr>
            <w:instrText>PAGE</w:instrText>
          </w:r>
          <w:r w:rsidR="00B718BB">
            <w:fldChar w:fldCharType="separate"/>
          </w:r>
          <w:r w:rsidR="00B718BB">
            <w:rPr>
              <w:noProof/>
              <w:color w:val="000000"/>
              <w:sz w:val="24"/>
              <w:szCs w:val="24"/>
            </w:rPr>
            <w:t>19</w:t>
          </w:r>
          <w:r>
            <w:fldChar w:fldCharType="end"/>
          </w:r>
        </w:p>
        <w:p w:rsidR="00C97C09" w:rsidRDefault="00C97C09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C09"/>
    <w:rsid w:val="008645B2"/>
    <w:rsid w:val="00B718BB"/>
    <w:rsid w:val="00C9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97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5512</Words>
  <Characters>31425</Characters>
  <Application>Microsoft Office Word</Application>
  <DocSecurity>0</DocSecurity>
  <Lines>261</Lines>
  <Paragraphs>73</Paragraphs>
  <ScaleCrop>false</ScaleCrop>
  <Company/>
  <LinksUpToDate>false</LinksUpToDate>
  <CharactersWithSpaces>36864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ToczarW</cp:lastModifiedBy>
  <cp:revision>2</cp:revision>
  <dcterms:created xsi:type="dcterms:W3CDTF">2025-02-04T13:10:00Z</dcterms:created>
  <dcterms:modified xsi:type="dcterms:W3CDTF">2025-02-04T13:10:00Z</dcterms:modified>
</cp:coreProperties>
</file>